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339D5" w14:textId="510CD0D5" w:rsidR="00F43F06" w:rsidRPr="00F43F06" w:rsidRDefault="00F43F06" w:rsidP="00F43F06">
      <w:pPr>
        <w:tabs>
          <w:tab w:val="center" w:pos="4680"/>
        </w:tabs>
        <w:suppressAutoHyphens/>
        <w:jc w:val="center"/>
        <w:rPr>
          <w:rFonts w:ascii="Arial" w:hAnsi="Arial" w:cs="Arial"/>
          <w:b/>
          <w:spacing w:val="-3"/>
          <w:sz w:val="28"/>
          <w:szCs w:val="24"/>
        </w:rPr>
      </w:pPr>
      <w:r w:rsidRPr="00F43F06">
        <w:rPr>
          <w:rFonts w:ascii="Arial" w:hAnsi="Arial" w:cs="Arial"/>
          <w:b/>
          <w:spacing w:val="-3"/>
          <w:sz w:val="28"/>
          <w:szCs w:val="24"/>
        </w:rPr>
        <w:t>EXHIBIT C</w:t>
      </w:r>
    </w:p>
    <w:p w14:paraId="695E88E7" w14:textId="77777777" w:rsidR="00F43F06" w:rsidRPr="00F43F06" w:rsidRDefault="00F43F06" w:rsidP="00F43F06">
      <w:pPr>
        <w:tabs>
          <w:tab w:val="center" w:pos="4680"/>
        </w:tabs>
        <w:suppressAutoHyphens/>
        <w:jc w:val="center"/>
        <w:rPr>
          <w:rFonts w:ascii="Arial" w:hAnsi="Arial" w:cs="Arial"/>
          <w:b/>
          <w:spacing w:val="-3"/>
          <w:sz w:val="28"/>
          <w:szCs w:val="24"/>
        </w:rPr>
      </w:pPr>
    </w:p>
    <w:p w14:paraId="6AB6EEAA" w14:textId="77777777" w:rsidR="00F43F06" w:rsidRPr="00F43F06" w:rsidRDefault="00F43F06" w:rsidP="00F43F06">
      <w:pPr>
        <w:tabs>
          <w:tab w:val="center" w:pos="4680"/>
        </w:tabs>
        <w:suppressAutoHyphens/>
        <w:jc w:val="center"/>
        <w:rPr>
          <w:rFonts w:ascii="Arial" w:hAnsi="Arial" w:cs="Arial"/>
          <w:b/>
          <w:spacing w:val="-3"/>
          <w:sz w:val="28"/>
          <w:szCs w:val="24"/>
        </w:rPr>
      </w:pPr>
      <w:r w:rsidRPr="00F43F06">
        <w:rPr>
          <w:rFonts w:ascii="Arial" w:hAnsi="Arial" w:cs="Arial"/>
          <w:b/>
          <w:spacing w:val="-3"/>
          <w:sz w:val="28"/>
          <w:szCs w:val="24"/>
        </w:rPr>
        <w:t>SCHEDULE OF CHARGES</w:t>
      </w:r>
    </w:p>
    <w:p w14:paraId="06EEED6B" w14:textId="77777777" w:rsidR="00F43F06" w:rsidRPr="00F43F06" w:rsidRDefault="00F43F06" w:rsidP="00F43F06">
      <w:pPr>
        <w:tabs>
          <w:tab w:val="center" w:pos="4680"/>
        </w:tabs>
        <w:suppressAutoHyphens/>
        <w:jc w:val="center"/>
        <w:rPr>
          <w:rFonts w:ascii="Arial" w:hAnsi="Arial" w:cs="Arial"/>
          <w:spacing w:val="-3"/>
          <w:szCs w:val="24"/>
        </w:rPr>
      </w:pPr>
    </w:p>
    <w:p w14:paraId="1716C670" w14:textId="77777777" w:rsidR="00F43F06" w:rsidRPr="00F43F06" w:rsidRDefault="00F43F06" w:rsidP="00FE3F8E">
      <w:pPr>
        <w:widowControl w:val="0"/>
        <w:numPr>
          <w:ilvl w:val="0"/>
          <w:numId w:val="2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rPr>
          <w:rFonts w:ascii="Arial" w:hAnsi="Arial"/>
        </w:rPr>
      </w:pPr>
      <w:r w:rsidRPr="00F43F06">
        <w:rPr>
          <w:rFonts w:ascii="Arial" w:hAnsi="Arial" w:cs="Arial"/>
          <w:b/>
          <w:spacing w:val="-2"/>
          <w:szCs w:val="24"/>
          <w:u w:val="single"/>
        </w:rPr>
        <w:t>Compensation Methods</w:t>
      </w:r>
      <w:r w:rsidRPr="00F43F06">
        <w:rPr>
          <w:rFonts w:ascii="Arial" w:hAnsi="Arial" w:cs="Arial"/>
          <w:b/>
          <w:spacing w:val="-2"/>
          <w:szCs w:val="24"/>
        </w:rPr>
        <w:t>.</w:t>
      </w:r>
      <w:r w:rsidRPr="00F43F06">
        <w:rPr>
          <w:rFonts w:ascii="Arial" w:hAnsi="Arial" w:cs="Arial"/>
          <w:spacing w:val="-2"/>
          <w:szCs w:val="24"/>
        </w:rPr>
        <w:t xml:space="preserve">  </w:t>
      </w:r>
      <w:r w:rsidRPr="00F43F06">
        <w:rPr>
          <w:rFonts w:ascii="Arial" w:hAnsi="Arial"/>
        </w:rPr>
        <w:t xml:space="preserve">Depending on the nature of the Work required, Service Provider may be compensated for a given Task Assignment based on one (1) or more of the following four (4) below methods: </w:t>
      </w:r>
    </w:p>
    <w:p w14:paraId="5FC782BD" w14:textId="77777777" w:rsidR="00F43F06" w:rsidRPr="00F43F06" w:rsidRDefault="00F43F06" w:rsidP="00F43F06">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03EF7484" w14:textId="77777777" w:rsidR="00F43F06" w:rsidRPr="00F43F06" w:rsidRDefault="00F43F06" w:rsidP="00FE3F8E">
      <w:pPr>
        <w:widowControl w:val="0"/>
        <w:numPr>
          <w:ilvl w:val="0"/>
          <w:numId w:val="21"/>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F43F06">
        <w:rPr>
          <w:rFonts w:ascii="Arial" w:hAnsi="Arial" w:cs="Arial"/>
          <w:spacing w:val="-3"/>
          <w:szCs w:val="24"/>
          <w:u w:val="single"/>
        </w:rPr>
        <w:t>Time &amp; Material (“T&amp;M”)</w:t>
      </w:r>
      <w:r w:rsidRPr="00F43F06">
        <w:rPr>
          <w:rFonts w:ascii="Arial" w:hAnsi="Arial" w:cs="Arial"/>
          <w:spacing w:val="-3"/>
          <w:szCs w:val="24"/>
        </w:rPr>
        <w:t xml:space="preserve">.  </w:t>
      </w:r>
      <w:r w:rsidRPr="00F43F06">
        <w:rPr>
          <w:rFonts w:ascii="Arial" w:hAnsi="Arial" w:cs="Arial"/>
          <w:spacing w:val="-2"/>
          <w:szCs w:val="24"/>
        </w:rPr>
        <w:t>Actual time and materials (T&amp;M) costs marked up by a fixed percentage for Insurance costs, Overhead and Profit, and Bond costs (if required);</w:t>
      </w:r>
    </w:p>
    <w:p w14:paraId="145595FE" w14:textId="77777777" w:rsidR="00F43F06" w:rsidRPr="00F43F06" w:rsidRDefault="00F43F06" w:rsidP="00F43F06">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3267E0EE" w14:textId="77777777" w:rsidR="00F43F06" w:rsidRPr="00F43F06" w:rsidRDefault="00F43F06" w:rsidP="00FE3F8E">
      <w:pPr>
        <w:widowControl w:val="0"/>
        <w:numPr>
          <w:ilvl w:val="0"/>
          <w:numId w:val="21"/>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F43F06">
        <w:rPr>
          <w:rFonts w:ascii="Arial" w:hAnsi="Arial" w:cs="Arial"/>
          <w:spacing w:val="-3"/>
          <w:szCs w:val="24"/>
          <w:u w:val="single"/>
        </w:rPr>
        <w:t>Unit Pricing</w:t>
      </w:r>
      <w:r w:rsidRPr="00F43F06">
        <w:rPr>
          <w:rFonts w:ascii="Arial" w:hAnsi="Arial" w:cs="Arial"/>
          <w:spacing w:val="-3"/>
          <w:szCs w:val="24"/>
        </w:rPr>
        <w:t xml:space="preserve">.  </w:t>
      </w:r>
      <w:r w:rsidRPr="00F43F06">
        <w:rPr>
          <w:rFonts w:ascii="Arial" w:hAnsi="Arial" w:cs="Arial"/>
          <w:spacing w:val="-2"/>
          <w:szCs w:val="24"/>
        </w:rPr>
        <w:t>Unit Prices for discrete elements of Work multiplied by actual units of Work provided;</w:t>
      </w:r>
    </w:p>
    <w:p w14:paraId="562CD204" w14:textId="77777777" w:rsidR="00F43F06" w:rsidRPr="00F43F06" w:rsidRDefault="00F43F06" w:rsidP="00F43F06">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1081CF34" w14:textId="77777777" w:rsidR="00F43F06" w:rsidRPr="00F43F06" w:rsidRDefault="00F43F06" w:rsidP="00FE3F8E">
      <w:pPr>
        <w:widowControl w:val="0"/>
        <w:numPr>
          <w:ilvl w:val="0"/>
          <w:numId w:val="21"/>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F43F06">
        <w:rPr>
          <w:rFonts w:ascii="Arial" w:hAnsi="Arial" w:cs="Arial"/>
          <w:spacing w:val="-3"/>
          <w:szCs w:val="24"/>
          <w:u w:val="single"/>
        </w:rPr>
        <w:t>Lump Sum</w:t>
      </w:r>
      <w:r w:rsidRPr="00F43F06">
        <w:rPr>
          <w:rFonts w:ascii="Arial" w:hAnsi="Arial" w:cs="Arial"/>
          <w:spacing w:val="-3"/>
          <w:szCs w:val="24"/>
        </w:rPr>
        <w:t xml:space="preserve">.  </w:t>
      </w:r>
      <w:r w:rsidRPr="00F43F06">
        <w:rPr>
          <w:rFonts w:ascii="Arial" w:hAnsi="Arial" w:cs="Arial"/>
          <w:spacing w:val="-2"/>
          <w:szCs w:val="24"/>
        </w:rPr>
        <w:t>Based on a Lump Sum Quote; and/or</w:t>
      </w:r>
    </w:p>
    <w:p w14:paraId="5EF6B902" w14:textId="77777777" w:rsidR="00F43F06" w:rsidRPr="00F43F06" w:rsidRDefault="00F43F06" w:rsidP="00F43F06">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3A2467A1" w14:textId="77777777" w:rsidR="00F43F06" w:rsidRPr="00F43F06" w:rsidRDefault="00F43F06" w:rsidP="00FE3F8E">
      <w:pPr>
        <w:widowControl w:val="0"/>
        <w:numPr>
          <w:ilvl w:val="0"/>
          <w:numId w:val="21"/>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F43F06">
        <w:rPr>
          <w:rFonts w:ascii="Arial" w:hAnsi="Arial" w:cs="Arial"/>
          <w:spacing w:val="-2"/>
          <w:szCs w:val="24"/>
          <w:u w:val="single"/>
        </w:rPr>
        <w:t>Competitive Solicitation</w:t>
      </w:r>
      <w:r w:rsidRPr="00F43F06">
        <w:rPr>
          <w:rFonts w:ascii="Arial" w:hAnsi="Arial" w:cs="Arial"/>
          <w:spacing w:val="-2"/>
          <w:szCs w:val="24"/>
        </w:rPr>
        <w:t xml:space="preserve">. Based on compensation terms associated with a Sealed Bid received from pre-qualified Bidders.  </w:t>
      </w:r>
    </w:p>
    <w:p w14:paraId="21A86687" w14:textId="77777777" w:rsidR="00F43F06" w:rsidRPr="00F43F06" w:rsidRDefault="00F43F06" w:rsidP="00F43F06">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2"/>
          <w:szCs w:val="24"/>
        </w:rPr>
      </w:pPr>
    </w:p>
    <w:p w14:paraId="5472171E" w14:textId="77777777" w:rsidR="00F43F06" w:rsidRPr="00F43F06" w:rsidRDefault="00F43F06" w:rsidP="00FE3F8E">
      <w:pPr>
        <w:widowControl w:val="0"/>
        <w:numPr>
          <w:ilvl w:val="0"/>
          <w:numId w:val="2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rPr>
          <w:rFonts w:ascii="Arial" w:hAnsi="Arial" w:cs="Arial"/>
          <w:spacing w:val="-2"/>
          <w:szCs w:val="24"/>
        </w:rPr>
      </w:pPr>
      <w:r w:rsidRPr="00F43F06">
        <w:rPr>
          <w:rFonts w:ascii="Arial" w:hAnsi="Arial" w:cs="Arial"/>
          <w:b/>
          <w:spacing w:val="-2"/>
          <w:szCs w:val="24"/>
          <w:u w:val="single"/>
        </w:rPr>
        <w:t>Application of Compensation Methods</w:t>
      </w:r>
      <w:r w:rsidRPr="00F43F06">
        <w:rPr>
          <w:rFonts w:ascii="Arial" w:hAnsi="Arial" w:cs="Arial"/>
          <w:spacing w:val="-2"/>
          <w:szCs w:val="24"/>
        </w:rPr>
        <w:t xml:space="preserve">.  The T&amp;M method of compensation is used for compensation in emergency situations when there is no time to obtain either cost estimates, Unit Price quotes, or Lump Sum Quotes before commencing the Work.  An emergency situation is a situation in which public health, welfare, or safety are in jeopardy.  </w:t>
      </w:r>
    </w:p>
    <w:p w14:paraId="37EDBE14" w14:textId="77777777" w:rsidR="00F43F06" w:rsidRPr="00F43F06" w:rsidRDefault="00F43F06" w:rsidP="00F43F06">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F43F06">
        <w:rPr>
          <w:rFonts w:ascii="Arial" w:hAnsi="Arial" w:cs="Arial"/>
          <w:spacing w:val="-2"/>
          <w:szCs w:val="24"/>
        </w:rPr>
        <w:tab/>
      </w:r>
    </w:p>
    <w:p w14:paraId="36A1D97C" w14:textId="77777777" w:rsidR="00F43F06" w:rsidRPr="00F43F06" w:rsidRDefault="00F43F06" w:rsidP="00F43F06">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F43F06">
        <w:rPr>
          <w:rFonts w:ascii="Arial" w:hAnsi="Arial" w:cs="Arial"/>
          <w:spacing w:val="-2"/>
          <w:szCs w:val="24"/>
        </w:rPr>
        <w:tab/>
        <w:t>Routine or periodic maintenance Work performed on a pre-determined schedule is typically compensated based on Unit Prices incorporated herein, though the compensation could also be based on T&amp;M or Lump Sum quotes if the scope of the maintenance Work needed from one time to the next is not well defined.</w:t>
      </w:r>
    </w:p>
    <w:p w14:paraId="7A214A2D" w14:textId="77777777" w:rsidR="00F43F06" w:rsidRPr="00F43F06" w:rsidRDefault="00F43F06" w:rsidP="00F43F06">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p>
    <w:p w14:paraId="6A27A245" w14:textId="77777777" w:rsidR="00F43F06" w:rsidRPr="00F43F06" w:rsidRDefault="00F43F06" w:rsidP="00F43F06">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F43F06">
        <w:rPr>
          <w:rFonts w:ascii="Arial" w:hAnsi="Arial" w:cs="Arial"/>
          <w:spacing w:val="-2"/>
          <w:szCs w:val="24"/>
        </w:rPr>
        <w:tab/>
        <w:t xml:space="preserve">Non-emergency scheduled Work typically allows sufficient time for the Service Provider to prepare a cost estimate or quote for Thornton’s consideration.  Under a scheduled Work situation, either T&amp;M estimates, Unit Prices, or Lump Sum Quotes may be used for compensation as the Parties mutually agree.  If Unit Prices included in the Agreement adequately cover the Scope of Work needed for the Task Assignment, these Unit Prices may be used to calculate the compensation due.  Or Thornton may request different Unit Prices be quoted for the specific Task Assignment’s Scope of Work.    </w:t>
      </w:r>
    </w:p>
    <w:p w14:paraId="0D893013" w14:textId="77777777" w:rsidR="00F43F06" w:rsidRPr="00F43F06" w:rsidRDefault="00F43F06" w:rsidP="00F43F06">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b/>
          <w:spacing w:val="-2"/>
          <w:szCs w:val="24"/>
          <w:u w:val="single"/>
        </w:rPr>
      </w:pPr>
    </w:p>
    <w:p w14:paraId="6305F7CE" w14:textId="77777777" w:rsidR="00F43F06" w:rsidRPr="00F43F06" w:rsidRDefault="00F43F06" w:rsidP="00F43F06">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F43F06">
        <w:rPr>
          <w:rFonts w:ascii="Arial" w:hAnsi="Arial" w:cs="Arial"/>
          <w:spacing w:val="-2"/>
          <w:szCs w:val="24"/>
        </w:rPr>
        <w:tab/>
      </w:r>
      <w:r w:rsidRPr="00F43F06">
        <w:rPr>
          <w:rFonts w:ascii="Arial" w:hAnsi="Arial" w:cs="Arial"/>
          <w:spacing w:val="-2"/>
          <w:szCs w:val="24"/>
          <w:u w:val="single"/>
        </w:rPr>
        <w:t>T &amp; M Eligible Costs</w:t>
      </w:r>
      <w:r w:rsidRPr="00F43F06">
        <w:rPr>
          <w:rFonts w:ascii="Arial" w:hAnsi="Arial" w:cs="Arial"/>
          <w:spacing w:val="-2"/>
          <w:szCs w:val="24"/>
        </w:rPr>
        <w:t xml:space="preserve">.  T&amp;M compensation includes all approved direct costs such as Subcontractor bid costs, Service Provider’s direct billable labor costs calculated using personnel labor burdened billable hourly rates as defined in the Agreement, actual materials and equipment costs (both owned and rental), and other approved reimbursable expenses.  The markups on such actual costs shall include compensation for all indirect costs, such as home office overhead.  </w:t>
      </w:r>
    </w:p>
    <w:p w14:paraId="77008ECC" w14:textId="77777777" w:rsidR="00F43F06" w:rsidRPr="00F43F06" w:rsidRDefault="00F43F06" w:rsidP="00F43F06">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zCs w:val="24"/>
        </w:rPr>
      </w:pPr>
    </w:p>
    <w:p w14:paraId="6B7316B4" w14:textId="77777777" w:rsidR="00F43F06" w:rsidRPr="00F43F06" w:rsidRDefault="00F43F06" w:rsidP="00F43F06">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rPr>
      </w:pPr>
      <w:r w:rsidRPr="00F43F06">
        <w:rPr>
          <w:rFonts w:ascii="Arial" w:hAnsi="Arial" w:cs="Arial"/>
          <w:spacing w:val="-2"/>
          <w:szCs w:val="24"/>
          <w:u w:val="single"/>
        </w:rPr>
        <w:t>T &amp; M Billable Rates</w:t>
      </w:r>
      <w:r w:rsidRPr="00F43F06">
        <w:rPr>
          <w:rFonts w:ascii="Arial" w:hAnsi="Arial" w:cs="Arial"/>
          <w:spacing w:val="-2"/>
          <w:szCs w:val="24"/>
        </w:rPr>
        <w:t>. Service Provider</w:t>
      </w:r>
      <w:r w:rsidRPr="00F43F06">
        <w:rPr>
          <w:rFonts w:ascii="Arial" w:hAnsi="Arial" w:cs="Arial"/>
          <w:szCs w:val="24"/>
        </w:rPr>
        <w:t xml:space="preserve">’s Personnel Billable Hourly Rates for T&amp;M Work.  </w:t>
      </w:r>
      <w:r w:rsidRPr="00F43F06">
        <w:rPr>
          <w:rFonts w:ascii="Arial" w:hAnsi="Arial"/>
        </w:rPr>
        <w:t xml:space="preserve">Service Provider may bill the labor burdened billable hourly rates identified </w:t>
      </w:r>
      <w:r w:rsidRPr="00F43F06">
        <w:rPr>
          <w:rFonts w:ascii="Arial" w:hAnsi="Arial"/>
        </w:rPr>
        <w:lastRenderedPageBreak/>
        <w:t>below for all of Service Provider’s proposed job title categories.  Labor burdened billable hourly rates shall include all direct payroll costs such as direct wages, Medicare and Social Security employer contributions, worker’s compensation insurance, and direct benefits paid by the Service Provider for health, life, and disability insurance premiums, retirement contributions, and allowance for paid leave.  Indicate regular rates as well as overtime rates for job title categories eligible to receive overtime pay.  Subcontractor’s personnel costs, if any, shall be included in subcontractors’ lump sum bids.</w:t>
      </w:r>
    </w:p>
    <w:p w14:paraId="393AD520" w14:textId="77777777" w:rsidR="00F43F06" w:rsidRPr="00F43F06" w:rsidRDefault="00F43F06" w:rsidP="00F43F06">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rPr>
      </w:pPr>
    </w:p>
    <w:p w14:paraId="210F0F75" w14:textId="77777777" w:rsidR="00F43F06" w:rsidRPr="00F43F06" w:rsidRDefault="00F43F06" w:rsidP="00F43F06">
      <w:pPr>
        <w:ind w:left="720"/>
        <w:jc w:val="both"/>
        <w:rPr>
          <w:rFonts w:ascii="Arial" w:hAnsi="Arial" w:cs="Arial"/>
          <w:szCs w:val="24"/>
          <w:u w:val="single"/>
        </w:rPr>
      </w:pPr>
      <w:r w:rsidRPr="00F43F06">
        <w:rPr>
          <w:rFonts w:ascii="Arial" w:hAnsi="Arial" w:cs="Arial"/>
          <w:szCs w:val="24"/>
        </w:rPr>
        <w:tab/>
      </w:r>
      <w:r w:rsidRPr="00F43F06">
        <w:rPr>
          <w:rFonts w:ascii="Arial" w:hAnsi="Arial" w:cs="Arial"/>
          <w:szCs w:val="24"/>
        </w:rPr>
        <w:tab/>
      </w:r>
      <w:r w:rsidRPr="00F43F06">
        <w:rPr>
          <w:rFonts w:ascii="Arial" w:hAnsi="Arial" w:cs="Arial"/>
          <w:szCs w:val="24"/>
        </w:rPr>
        <w:tab/>
      </w:r>
      <w:r w:rsidRPr="00F43F06">
        <w:rPr>
          <w:rFonts w:ascii="Arial" w:hAnsi="Arial" w:cs="Arial"/>
          <w:szCs w:val="24"/>
        </w:rPr>
        <w:tab/>
      </w:r>
      <w:r w:rsidRPr="00F43F06">
        <w:rPr>
          <w:rFonts w:ascii="Arial" w:hAnsi="Arial" w:cs="Arial"/>
          <w:szCs w:val="24"/>
        </w:rPr>
        <w:tab/>
      </w:r>
      <w:r w:rsidRPr="00F43F06">
        <w:rPr>
          <w:rFonts w:ascii="Arial" w:hAnsi="Arial" w:cs="Arial"/>
          <w:szCs w:val="24"/>
        </w:rPr>
        <w:tab/>
      </w:r>
      <w:r w:rsidRPr="00F43F06">
        <w:rPr>
          <w:rFonts w:ascii="Arial" w:hAnsi="Arial" w:cs="Arial"/>
          <w:szCs w:val="24"/>
        </w:rPr>
        <w:tab/>
      </w:r>
      <w:r w:rsidRPr="00F43F06">
        <w:rPr>
          <w:rFonts w:ascii="Arial" w:hAnsi="Arial" w:cs="Arial"/>
          <w:szCs w:val="24"/>
          <w:u w:val="single"/>
        </w:rPr>
        <w:t>Labor Burdened</w:t>
      </w:r>
    </w:p>
    <w:p w14:paraId="59D0C562" w14:textId="77777777" w:rsidR="00F43F06" w:rsidRPr="00F43F06" w:rsidRDefault="00F43F06" w:rsidP="00F43F06">
      <w:pPr>
        <w:ind w:left="720"/>
        <w:jc w:val="both"/>
        <w:rPr>
          <w:rFonts w:ascii="Arial" w:hAnsi="Arial" w:cs="Arial"/>
          <w:szCs w:val="24"/>
          <w:u w:val="single"/>
        </w:rPr>
      </w:pPr>
      <w:r w:rsidRPr="00F43F06">
        <w:rPr>
          <w:rFonts w:ascii="Arial" w:hAnsi="Arial" w:cs="Arial"/>
          <w:szCs w:val="24"/>
        </w:rPr>
        <w:t xml:space="preserve">      </w:t>
      </w:r>
      <w:r w:rsidRPr="00F43F06">
        <w:rPr>
          <w:rFonts w:ascii="Arial" w:hAnsi="Arial" w:cs="Arial"/>
          <w:szCs w:val="24"/>
        </w:rPr>
        <w:tab/>
      </w:r>
      <w:r w:rsidRPr="00F43F06">
        <w:rPr>
          <w:rFonts w:ascii="Arial" w:hAnsi="Arial" w:cs="Arial"/>
          <w:szCs w:val="24"/>
        </w:rPr>
        <w:tab/>
      </w:r>
      <w:r w:rsidRPr="00F43F06">
        <w:rPr>
          <w:rFonts w:ascii="Arial" w:hAnsi="Arial" w:cs="Arial"/>
          <w:szCs w:val="24"/>
        </w:rPr>
        <w:tab/>
      </w:r>
      <w:r w:rsidRPr="00F43F06">
        <w:rPr>
          <w:rFonts w:ascii="Arial" w:hAnsi="Arial" w:cs="Arial"/>
          <w:szCs w:val="24"/>
        </w:rPr>
        <w:tab/>
      </w:r>
      <w:r w:rsidRPr="00F43F06">
        <w:rPr>
          <w:rFonts w:ascii="Arial" w:hAnsi="Arial" w:cs="Arial"/>
          <w:szCs w:val="24"/>
        </w:rPr>
        <w:tab/>
      </w:r>
      <w:r w:rsidRPr="00F43F06">
        <w:rPr>
          <w:rFonts w:ascii="Arial" w:hAnsi="Arial" w:cs="Arial"/>
          <w:szCs w:val="24"/>
        </w:rPr>
        <w:tab/>
      </w:r>
      <w:r w:rsidRPr="00F43F06">
        <w:rPr>
          <w:rFonts w:ascii="Arial" w:hAnsi="Arial" w:cs="Arial"/>
          <w:szCs w:val="24"/>
        </w:rPr>
        <w:tab/>
      </w:r>
      <w:r w:rsidRPr="00F43F06">
        <w:rPr>
          <w:rFonts w:ascii="Arial" w:hAnsi="Arial" w:cs="Arial"/>
          <w:szCs w:val="24"/>
          <w:u w:val="single"/>
        </w:rPr>
        <w:t>Billable Hourly Rates</w:t>
      </w:r>
    </w:p>
    <w:p w14:paraId="39311E30" w14:textId="77777777" w:rsidR="00F43F06" w:rsidRPr="00F43F06" w:rsidRDefault="00F43F06" w:rsidP="00F43F06">
      <w:pPr>
        <w:ind w:left="720"/>
        <w:jc w:val="both"/>
        <w:rPr>
          <w:rFonts w:ascii="Arial" w:hAnsi="Arial" w:cs="Arial"/>
          <w:szCs w:val="24"/>
        </w:rPr>
      </w:pPr>
      <w:r w:rsidRPr="00F43F06">
        <w:rPr>
          <w:rFonts w:ascii="Arial" w:hAnsi="Arial" w:cs="Arial"/>
          <w:szCs w:val="24"/>
          <w:u w:val="single"/>
        </w:rPr>
        <w:t>Employee’s Job Title</w:t>
      </w:r>
      <w:r w:rsidRPr="00F43F06">
        <w:rPr>
          <w:rFonts w:ascii="Arial" w:hAnsi="Arial" w:cs="Arial"/>
          <w:szCs w:val="24"/>
        </w:rPr>
        <w:tab/>
      </w:r>
      <w:r w:rsidRPr="00F43F06">
        <w:rPr>
          <w:rFonts w:ascii="Arial" w:hAnsi="Arial" w:cs="Arial"/>
          <w:szCs w:val="24"/>
        </w:rPr>
        <w:tab/>
      </w:r>
      <w:r w:rsidRPr="00F43F06">
        <w:rPr>
          <w:rFonts w:ascii="Arial" w:hAnsi="Arial" w:cs="Arial"/>
          <w:szCs w:val="24"/>
        </w:rPr>
        <w:tab/>
      </w:r>
      <w:r w:rsidRPr="00F43F06">
        <w:rPr>
          <w:rFonts w:ascii="Arial" w:hAnsi="Arial" w:cs="Arial"/>
          <w:szCs w:val="24"/>
        </w:rPr>
        <w:tab/>
      </w:r>
      <w:r w:rsidRPr="00F43F06">
        <w:rPr>
          <w:rFonts w:ascii="Arial" w:hAnsi="Arial" w:cs="Arial"/>
          <w:szCs w:val="24"/>
          <w:u w:val="single"/>
        </w:rPr>
        <w:t>Regular</w:t>
      </w:r>
      <w:r w:rsidRPr="00F43F06">
        <w:rPr>
          <w:rFonts w:ascii="Arial" w:hAnsi="Arial" w:cs="Arial"/>
          <w:szCs w:val="24"/>
        </w:rPr>
        <w:tab/>
        <w:t xml:space="preserve"> </w:t>
      </w:r>
      <w:r w:rsidRPr="00F43F06">
        <w:rPr>
          <w:rFonts w:ascii="Arial" w:hAnsi="Arial" w:cs="Arial"/>
          <w:szCs w:val="24"/>
          <w:u w:val="single"/>
        </w:rPr>
        <w:t>Overtime</w:t>
      </w:r>
      <w:r w:rsidRPr="00F43F06">
        <w:rPr>
          <w:rFonts w:ascii="Arial" w:hAnsi="Arial" w:cs="Arial"/>
          <w:szCs w:val="24"/>
        </w:rPr>
        <w:tab/>
      </w:r>
    </w:p>
    <w:p w14:paraId="2C5FEC42" w14:textId="77777777" w:rsidR="00F43F06" w:rsidRPr="00F43F06" w:rsidRDefault="00F43F06" w:rsidP="00F43F06">
      <w:pPr>
        <w:ind w:left="720"/>
        <w:jc w:val="both"/>
        <w:rPr>
          <w:rFonts w:ascii="Arial" w:hAnsi="Arial" w:cs="Arial"/>
          <w:szCs w:val="24"/>
        </w:rPr>
      </w:pPr>
    </w:p>
    <w:p w14:paraId="76F76B20"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w:t>
      </w:r>
      <w:r w:rsidRPr="00F43F06">
        <w:rPr>
          <w:rFonts w:ascii="Arial" w:hAnsi="Arial" w:cs="Arial"/>
          <w:szCs w:val="24"/>
        </w:rPr>
        <w:tab/>
      </w:r>
      <w:r w:rsidRPr="00F43F06">
        <w:rPr>
          <w:rFonts w:ascii="Arial" w:hAnsi="Arial" w:cs="Arial"/>
          <w:szCs w:val="24"/>
        </w:rPr>
        <w:tab/>
        <w:t>_________</w:t>
      </w:r>
      <w:r w:rsidRPr="00F43F06">
        <w:rPr>
          <w:rFonts w:ascii="Arial" w:hAnsi="Arial" w:cs="Arial"/>
          <w:szCs w:val="24"/>
        </w:rPr>
        <w:tab/>
        <w:t>__________</w:t>
      </w:r>
      <w:r w:rsidRPr="00F43F06">
        <w:rPr>
          <w:rFonts w:ascii="Arial" w:hAnsi="Arial" w:cs="Arial"/>
          <w:szCs w:val="24"/>
        </w:rPr>
        <w:tab/>
      </w:r>
    </w:p>
    <w:p w14:paraId="0CD5B1F3" w14:textId="77777777" w:rsidR="00F43F06" w:rsidRPr="00F43F06" w:rsidRDefault="00F43F06" w:rsidP="00F43F06">
      <w:pPr>
        <w:ind w:left="720"/>
        <w:jc w:val="both"/>
        <w:rPr>
          <w:rFonts w:ascii="Arial" w:hAnsi="Arial" w:cs="Arial"/>
          <w:szCs w:val="24"/>
        </w:rPr>
      </w:pPr>
    </w:p>
    <w:p w14:paraId="7D186C8C"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w:t>
      </w:r>
      <w:r w:rsidRPr="00F43F06">
        <w:rPr>
          <w:rFonts w:ascii="Arial" w:hAnsi="Arial" w:cs="Arial"/>
          <w:szCs w:val="24"/>
        </w:rPr>
        <w:tab/>
      </w:r>
      <w:r w:rsidRPr="00F43F06">
        <w:rPr>
          <w:rFonts w:ascii="Arial" w:hAnsi="Arial" w:cs="Arial"/>
          <w:szCs w:val="24"/>
        </w:rPr>
        <w:tab/>
        <w:t>_________</w:t>
      </w:r>
      <w:r w:rsidRPr="00F43F06">
        <w:rPr>
          <w:rFonts w:ascii="Arial" w:hAnsi="Arial" w:cs="Arial"/>
          <w:szCs w:val="24"/>
        </w:rPr>
        <w:tab/>
        <w:t>__________</w:t>
      </w:r>
    </w:p>
    <w:p w14:paraId="2D093CAF" w14:textId="77777777" w:rsidR="00F43F06" w:rsidRPr="00F43F06" w:rsidRDefault="00F43F06" w:rsidP="00F43F06">
      <w:pPr>
        <w:ind w:left="720"/>
        <w:jc w:val="both"/>
        <w:rPr>
          <w:rFonts w:ascii="Arial" w:hAnsi="Arial" w:cs="Arial"/>
          <w:szCs w:val="24"/>
        </w:rPr>
      </w:pPr>
    </w:p>
    <w:p w14:paraId="5669C8EF"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w:t>
      </w:r>
      <w:r w:rsidRPr="00F43F06">
        <w:rPr>
          <w:rFonts w:ascii="Arial" w:hAnsi="Arial" w:cs="Arial"/>
          <w:szCs w:val="24"/>
        </w:rPr>
        <w:tab/>
      </w:r>
      <w:r w:rsidRPr="00F43F06">
        <w:rPr>
          <w:rFonts w:ascii="Arial" w:hAnsi="Arial" w:cs="Arial"/>
          <w:szCs w:val="24"/>
        </w:rPr>
        <w:tab/>
        <w:t>_________</w:t>
      </w:r>
      <w:r w:rsidRPr="00F43F06">
        <w:rPr>
          <w:rFonts w:ascii="Arial" w:hAnsi="Arial" w:cs="Arial"/>
          <w:szCs w:val="24"/>
        </w:rPr>
        <w:tab/>
        <w:t>__________</w:t>
      </w:r>
    </w:p>
    <w:p w14:paraId="334E5DFA" w14:textId="77777777" w:rsidR="00F43F06" w:rsidRPr="00F43F06" w:rsidRDefault="00F43F06" w:rsidP="00F43F06">
      <w:pPr>
        <w:ind w:left="720"/>
        <w:jc w:val="both"/>
        <w:rPr>
          <w:rFonts w:ascii="Arial" w:hAnsi="Arial" w:cs="Arial"/>
          <w:szCs w:val="24"/>
        </w:rPr>
      </w:pPr>
    </w:p>
    <w:p w14:paraId="607821E6"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w:t>
      </w:r>
      <w:r w:rsidRPr="00F43F06">
        <w:rPr>
          <w:rFonts w:ascii="Arial" w:hAnsi="Arial" w:cs="Arial"/>
          <w:szCs w:val="24"/>
        </w:rPr>
        <w:tab/>
      </w:r>
      <w:r w:rsidRPr="00F43F06">
        <w:rPr>
          <w:rFonts w:ascii="Arial" w:hAnsi="Arial" w:cs="Arial"/>
          <w:szCs w:val="24"/>
        </w:rPr>
        <w:tab/>
        <w:t>_________</w:t>
      </w:r>
      <w:r w:rsidRPr="00F43F06">
        <w:rPr>
          <w:rFonts w:ascii="Arial" w:hAnsi="Arial" w:cs="Arial"/>
          <w:szCs w:val="24"/>
        </w:rPr>
        <w:tab/>
        <w:t>__________</w:t>
      </w:r>
    </w:p>
    <w:p w14:paraId="7BB96BD6" w14:textId="77777777" w:rsidR="00F43F06" w:rsidRPr="00F43F06" w:rsidRDefault="00F43F06" w:rsidP="00F43F06">
      <w:pPr>
        <w:ind w:left="720"/>
        <w:jc w:val="both"/>
        <w:rPr>
          <w:rFonts w:ascii="Arial" w:hAnsi="Arial" w:cs="Arial"/>
          <w:szCs w:val="24"/>
        </w:rPr>
      </w:pPr>
    </w:p>
    <w:p w14:paraId="136AF78B"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w:t>
      </w:r>
      <w:r w:rsidRPr="00F43F06">
        <w:rPr>
          <w:rFonts w:ascii="Arial" w:hAnsi="Arial" w:cs="Arial"/>
          <w:szCs w:val="24"/>
        </w:rPr>
        <w:tab/>
      </w:r>
      <w:r w:rsidRPr="00F43F06">
        <w:rPr>
          <w:rFonts w:ascii="Arial" w:hAnsi="Arial" w:cs="Arial"/>
          <w:szCs w:val="24"/>
        </w:rPr>
        <w:tab/>
        <w:t>_________</w:t>
      </w:r>
      <w:r w:rsidRPr="00F43F06">
        <w:rPr>
          <w:rFonts w:ascii="Arial" w:hAnsi="Arial" w:cs="Arial"/>
          <w:szCs w:val="24"/>
        </w:rPr>
        <w:tab/>
        <w:t>__________</w:t>
      </w:r>
    </w:p>
    <w:p w14:paraId="09A73A49" w14:textId="77777777" w:rsidR="00F43F06" w:rsidRPr="00F43F06" w:rsidRDefault="00F43F06" w:rsidP="00F43F06">
      <w:pPr>
        <w:ind w:left="720"/>
        <w:jc w:val="both"/>
        <w:rPr>
          <w:rFonts w:ascii="Arial" w:hAnsi="Arial" w:cs="Arial"/>
          <w:szCs w:val="24"/>
        </w:rPr>
      </w:pPr>
    </w:p>
    <w:p w14:paraId="6F73AB21"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w:t>
      </w:r>
      <w:r w:rsidRPr="00F43F06">
        <w:rPr>
          <w:rFonts w:ascii="Arial" w:hAnsi="Arial" w:cs="Arial"/>
          <w:szCs w:val="24"/>
        </w:rPr>
        <w:tab/>
      </w:r>
      <w:r w:rsidRPr="00F43F06">
        <w:rPr>
          <w:rFonts w:ascii="Arial" w:hAnsi="Arial" w:cs="Arial"/>
          <w:szCs w:val="24"/>
        </w:rPr>
        <w:tab/>
        <w:t>_________</w:t>
      </w:r>
      <w:r w:rsidRPr="00F43F06">
        <w:rPr>
          <w:rFonts w:ascii="Arial" w:hAnsi="Arial" w:cs="Arial"/>
          <w:szCs w:val="24"/>
        </w:rPr>
        <w:tab/>
        <w:t>__________</w:t>
      </w:r>
    </w:p>
    <w:p w14:paraId="4378FC10" w14:textId="77777777" w:rsidR="00F43F06" w:rsidRPr="00F43F06" w:rsidRDefault="00F43F06" w:rsidP="00F43F06">
      <w:pPr>
        <w:ind w:left="720"/>
        <w:jc w:val="both"/>
        <w:rPr>
          <w:rFonts w:ascii="Arial" w:hAnsi="Arial" w:cs="Arial"/>
          <w:szCs w:val="24"/>
        </w:rPr>
      </w:pPr>
    </w:p>
    <w:p w14:paraId="136ABB05"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w:t>
      </w:r>
      <w:r w:rsidRPr="00F43F06">
        <w:rPr>
          <w:rFonts w:ascii="Arial" w:hAnsi="Arial" w:cs="Arial"/>
          <w:szCs w:val="24"/>
        </w:rPr>
        <w:tab/>
      </w:r>
      <w:r w:rsidRPr="00F43F06">
        <w:rPr>
          <w:rFonts w:ascii="Arial" w:hAnsi="Arial" w:cs="Arial"/>
          <w:szCs w:val="24"/>
        </w:rPr>
        <w:tab/>
        <w:t>_________</w:t>
      </w:r>
      <w:r w:rsidRPr="00F43F06">
        <w:rPr>
          <w:rFonts w:ascii="Arial" w:hAnsi="Arial" w:cs="Arial"/>
          <w:szCs w:val="24"/>
        </w:rPr>
        <w:tab/>
        <w:t>__________</w:t>
      </w:r>
    </w:p>
    <w:p w14:paraId="0095740E" w14:textId="77777777" w:rsidR="00F43F06" w:rsidRPr="00F43F06" w:rsidRDefault="00F43F06" w:rsidP="00F43F06">
      <w:pPr>
        <w:ind w:left="720"/>
        <w:jc w:val="both"/>
        <w:rPr>
          <w:rFonts w:ascii="Arial" w:hAnsi="Arial" w:cs="Arial"/>
          <w:szCs w:val="24"/>
        </w:rPr>
      </w:pPr>
    </w:p>
    <w:p w14:paraId="0091EA46"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w:t>
      </w:r>
      <w:r w:rsidRPr="00F43F06">
        <w:rPr>
          <w:rFonts w:ascii="Arial" w:hAnsi="Arial" w:cs="Arial"/>
          <w:szCs w:val="24"/>
        </w:rPr>
        <w:tab/>
      </w:r>
      <w:r w:rsidRPr="00F43F06">
        <w:rPr>
          <w:rFonts w:ascii="Arial" w:hAnsi="Arial" w:cs="Arial"/>
          <w:szCs w:val="24"/>
        </w:rPr>
        <w:tab/>
        <w:t>_________</w:t>
      </w:r>
      <w:r w:rsidRPr="00F43F06">
        <w:rPr>
          <w:rFonts w:ascii="Arial" w:hAnsi="Arial" w:cs="Arial"/>
          <w:szCs w:val="24"/>
        </w:rPr>
        <w:tab/>
        <w:t>__________</w:t>
      </w:r>
    </w:p>
    <w:p w14:paraId="78D520D9" w14:textId="77777777" w:rsidR="00F43F06" w:rsidRPr="00F43F06" w:rsidRDefault="00F43F06" w:rsidP="00F43F06">
      <w:pPr>
        <w:ind w:left="720"/>
        <w:jc w:val="both"/>
        <w:rPr>
          <w:rFonts w:ascii="Arial" w:hAnsi="Arial" w:cs="Arial"/>
          <w:szCs w:val="24"/>
        </w:rPr>
      </w:pPr>
    </w:p>
    <w:p w14:paraId="235A0A9F"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w:t>
      </w:r>
      <w:r w:rsidRPr="00F43F06">
        <w:rPr>
          <w:rFonts w:ascii="Arial" w:hAnsi="Arial" w:cs="Arial"/>
          <w:szCs w:val="24"/>
        </w:rPr>
        <w:tab/>
      </w:r>
      <w:r w:rsidRPr="00F43F06">
        <w:rPr>
          <w:rFonts w:ascii="Arial" w:hAnsi="Arial" w:cs="Arial"/>
          <w:szCs w:val="24"/>
        </w:rPr>
        <w:tab/>
        <w:t>_________</w:t>
      </w:r>
      <w:r w:rsidRPr="00F43F06">
        <w:rPr>
          <w:rFonts w:ascii="Arial" w:hAnsi="Arial" w:cs="Arial"/>
          <w:szCs w:val="24"/>
        </w:rPr>
        <w:tab/>
        <w:t>__________</w:t>
      </w:r>
    </w:p>
    <w:p w14:paraId="50564290" w14:textId="77777777" w:rsidR="00F43F06" w:rsidRPr="00F43F06" w:rsidRDefault="00F43F06" w:rsidP="00F43F06">
      <w:pPr>
        <w:ind w:left="720"/>
        <w:jc w:val="both"/>
        <w:rPr>
          <w:rFonts w:ascii="Arial" w:hAnsi="Arial" w:cs="Arial"/>
          <w:szCs w:val="24"/>
        </w:rPr>
      </w:pPr>
    </w:p>
    <w:p w14:paraId="18446F1F"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w:t>
      </w:r>
      <w:r w:rsidRPr="00F43F06">
        <w:rPr>
          <w:rFonts w:ascii="Arial" w:hAnsi="Arial" w:cs="Arial"/>
          <w:szCs w:val="24"/>
        </w:rPr>
        <w:tab/>
      </w:r>
      <w:r w:rsidRPr="00F43F06">
        <w:rPr>
          <w:rFonts w:ascii="Arial" w:hAnsi="Arial" w:cs="Arial"/>
          <w:szCs w:val="24"/>
        </w:rPr>
        <w:tab/>
        <w:t>_________</w:t>
      </w:r>
      <w:r w:rsidRPr="00F43F06">
        <w:rPr>
          <w:rFonts w:ascii="Arial" w:hAnsi="Arial" w:cs="Arial"/>
          <w:szCs w:val="24"/>
        </w:rPr>
        <w:tab/>
        <w:t>__________</w:t>
      </w:r>
    </w:p>
    <w:p w14:paraId="1467C5D1" w14:textId="77777777" w:rsidR="00F43F06" w:rsidRPr="00F43F06" w:rsidRDefault="00F43F06" w:rsidP="00F43F06">
      <w:pPr>
        <w:ind w:left="720"/>
        <w:jc w:val="both"/>
        <w:rPr>
          <w:rFonts w:ascii="Arial" w:hAnsi="Arial" w:cs="Arial"/>
          <w:szCs w:val="24"/>
        </w:rPr>
      </w:pPr>
    </w:p>
    <w:p w14:paraId="6C1C9653"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w:t>
      </w:r>
      <w:r w:rsidRPr="00F43F06">
        <w:rPr>
          <w:rFonts w:ascii="Arial" w:hAnsi="Arial" w:cs="Arial"/>
          <w:szCs w:val="24"/>
        </w:rPr>
        <w:tab/>
      </w:r>
      <w:r w:rsidRPr="00F43F06">
        <w:rPr>
          <w:rFonts w:ascii="Arial" w:hAnsi="Arial" w:cs="Arial"/>
          <w:szCs w:val="24"/>
        </w:rPr>
        <w:tab/>
        <w:t>_________</w:t>
      </w:r>
      <w:r w:rsidRPr="00F43F06">
        <w:rPr>
          <w:rFonts w:ascii="Arial" w:hAnsi="Arial" w:cs="Arial"/>
          <w:szCs w:val="24"/>
        </w:rPr>
        <w:tab/>
        <w:t>__________</w:t>
      </w:r>
    </w:p>
    <w:p w14:paraId="1FBFDF39" w14:textId="77777777" w:rsidR="00F43F06" w:rsidRPr="00F43F06" w:rsidRDefault="00F43F06" w:rsidP="00F43F06">
      <w:pPr>
        <w:ind w:left="720"/>
        <w:jc w:val="both"/>
        <w:rPr>
          <w:rFonts w:ascii="Arial" w:hAnsi="Arial" w:cs="Arial"/>
          <w:szCs w:val="24"/>
        </w:rPr>
      </w:pPr>
    </w:p>
    <w:p w14:paraId="0FD83348" w14:textId="77777777" w:rsidR="00F43F06" w:rsidRPr="00F43F06" w:rsidRDefault="00F43F06" w:rsidP="00F43F06">
      <w:pPr>
        <w:jc w:val="both"/>
        <w:rPr>
          <w:rFonts w:ascii="Arial" w:hAnsi="Arial" w:cs="Arial"/>
          <w:szCs w:val="24"/>
        </w:rPr>
      </w:pPr>
    </w:p>
    <w:p w14:paraId="74341C4E" w14:textId="77777777" w:rsidR="00F43F06" w:rsidRPr="00F43F06" w:rsidRDefault="00F43F06" w:rsidP="00F43F06">
      <w:pPr>
        <w:ind w:left="720"/>
        <w:jc w:val="both"/>
        <w:rPr>
          <w:rFonts w:ascii="Arial" w:hAnsi="Arial" w:cs="Arial"/>
          <w:szCs w:val="24"/>
        </w:rPr>
      </w:pPr>
      <w:r w:rsidRPr="00F43F06">
        <w:rPr>
          <w:rFonts w:ascii="Arial" w:hAnsi="Arial" w:cs="Arial"/>
          <w:szCs w:val="24"/>
          <w:u w:val="single"/>
        </w:rPr>
        <w:t>Working Hours</w:t>
      </w:r>
      <w:r w:rsidRPr="00F43F06">
        <w:rPr>
          <w:rFonts w:ascii="Arial" w:hAnsi="Arial" w:cs="Arial"/>
          <w:szCs w:val="24"/>
        </w:rPr>
        <w:t xml:space="preserve">. Regular hours shall be between 8:00 a.m. and 4:00 p.m., Monday through Friday, except </w:t>
      </w:r>
      <w:r w:rsidRPr="00F43F06">
        <w:rPr>
          <w:rFonts w:ascii="Arial" w:hAnsi="Arial" w:cs="Arial"/>
          <w:spacing w:val="-2"/>
          <w:szCs w:val="24"/>
        </w:rPr>
        <w:t>Service Provider’s</w:t>
      </w:r>
      <w:r w:rsidRPr="00F43F06">
        <w:rPr>
          <w:rFonts w:ascii="Arial" w:hAnsi="Arial" w:cs="Arial"/>
          <w:szCs w:val="24"/>
        </w:rPr>
        <w:t xml:space="preserve"> observed holidays.  Overtime rates shall be in effect during all other times.</w:t>
      </w:r>
    </w:p>
    <w:p w14:paraId="0E2EE3A9" w14:textId="77777777" w:rsidR="00F43F06" w:rsidRPr="00F43F06" w:rsidRDefault="00F43F06" w:rsidP="00F43F06">
      <w:pPr>
        <w:ind w:left="720"/>
        <w:jc w:val="both"/>
        <w:rPr>
          <w:rFonts w:ascii="Arial" w:hAnsi="Arial" w:cs="Arial"/>
          <w:szCs w:val="24"/>
        </w:rPr>
      </w:pPr>
    </w:p>
    <w:p w14:paraId="37E07FAB" w14:textId="77777777" w:rsidR="00F43F06" w:rsidRPr="00F43F06" w:rsidRDefault="00F43F06" w:rsidP="00F43F06">
      <w:pPr>
        <w:ind w:left="720"/>
        <w:jc w:val="both"/>
        <w:rPr>
          <w:rFonts w:ascii="Arial" w:hAnsi="Arial" w:cs="Arial"/>
          <w:szCs w:val="24"/>
        </w:rPr>
      </w:pPr>
      <w:r w:rsidRPr="00F43F06">
        <w:rPr>
          <w:rFonts w:ascii="Arial" w:hAnsi="Arial"/>
          <w:u w:val="single"/>
        </w:rPr>
        <w:t>Service Provider’s Owned Equipment Billable Rates for T&amp;M Work</w:t>
      </w:r>
      <w:r w:rsidRPr="00F43F06">
        <w:rPr>
          <w:rFonts w:ascii="Arial" w:hAnsi="Arial"/>
        </w:rPr>
        <w:t xml:space="preserve">. </w:t>
      </w:r>
      <w:r w:rsidRPr="00F43F06">
        <w:rPr>
          <w:rFonts w:ascii="Arial" w:hAnsi="Arial" w:cs="Arial"/>
          <w:szCs w:val="24"/>
        </w:rPr>
        <w:t xml:space="preserve">Service Provider’s Owned Equipment Billable Rates shall be without operator and shall include costs of maintenance, consumables (such as fuel and oil), and depreciation.  Subcontractor’s owned-equipment costs, if any, shall be included in subcontractors’ lump sum bids.  </w:t>
      </w:r>
    </w:p>
    <w:p w14:paraId="0CFFF158" w14:textId="77777777" w:rsidR="00F43F06" w:rsidRPr="00F43F06" w:rsidRDefault="00F43F06" w:rsidP="00F43F06">
      <w:pPr>
        <w:ind w:left="720"/>
        <w:jc w:val="both"/>
        <w:rPr>
          <w:rFonts w:ascii="Arial" w:hAnsi="Arial" w:cs="Arial"/>
          <w:szCs w:val="24"/>
        </w:rPr>
      </w:pPr>
      <w:r w:rsidRPr="00F43F06">
        <w:rPr>
          <w:rFonts w:ascii="Arial" w:hAnsi="Arial" w:cs="Arial"/>
          <w:szCs w:val="24"/>
        </w:rPr>
        <w:t xml:space="preserve">If Service Provider owns equipment that is required for a given Task Assignment, but the equipment rate is not defined herein, the Billable Rate shall be as defined as the FHWA rate in the most recent edition of the Rental Rate Blue Book.  The </w:t>
      </w:r>
      <w:r w:rsidRPr="00F43F06">
        <w:rPr>
          <w:rFonts w:ascii="Arial" w:hAnsi="Arial" w:cs="Arial"/>
          <w:szCs w:val="24"/>
        </w:rPr>
        <w:lastRenderedPageBreak/>
        <w:t xml:space="preserve">Blue Book FHWA rates are without operator, adjusted for geographic region and age of equipment, and are derived from the Blue Book monthly rate divided by one hundred seventy-six (176) hours per month plus the hourly operating cost.  Rates for specialty equipment not included in either the Schedule below or in the Rental Rate Blue Book may, at Thornton’s sole discretion, be negotiated for a specific Task Assignment.  </w:t>
      </w:r>
    </w:p>
    <w:p w14:paraId="51DA6DD2" w14:textId="77777777" w:rsidR="00F43F06" w:rsidRPr="00F43F06" w:rsidRDefault="00F43F06" w:rsidP="00F43F06">
      <w:pPr>
        <w:ind w:left="720"/>
        <w:jc w:val="both"/>
        <w:rPr>
          <w:rFonts w:ascii="Arial" w:hAnsi="Arial" w:cs="Arial"/>
          <w:szCs w:val="24"/>
        </w:rPr>
      </w:pPr>
    </w:p>
    <w:p w14:paraId="43B3FB9D" w14:textId="77777777" w:rsidR="00F43F06" w:rsidRPr="00F43F06" w:rsidRDefault="00F43F06" w:rsidP="00F43F06">
      <w:pPr>
        <w:ind w:left="720"/>
        <w:jc w:val="both"/>
        <w:rPr>
          <w:rFonts w:ascii="Arial" w:hAnsi="Arial" w:cs="Arial"/>
          <w:szCs w:val="24"/>
        </w:rPr>
      </w:pPr>
      <w:r w:rsidRPr="00F43F06">
        <w:rPr>
          <w:rFonts w:ascii="Arial" w:hAnsi="Arial" w:cs="Arial"/>
          <w:szCs w:val="24"/>
        </w:rPr>
        <w:t>Incidental tools or equipment required for T&amp;M Task Assignment that are not listed or included in the Rental Rate Blue Book shall not be compensated separately and use of such tools or equipment shall be considered compensated by the Service Provider’s markup for Overhead and Profit.  Thornton, at its sole discretion, shall determine if tools or equipment required are considered specialty equipment or incidental tools or equipment.</w:t>
      </w:r>
    </w:p>
    <w:p w14:paraId="6AC88635" w14:textId="77777777" w:rsidR="00F43F06" w:rsidRPr="00F43F06" w:rsidRDefault="00F43F06" w:rsidP="00F43F06">
      <w:pPr>
        <w:jc w:val="both"/>
        <w:rPr>
          <w:rFonts w:ascii="Arial" w:hAnsi="Arial" w:cs="Arial"/>
          <w:szCs w:val="24"/>
        </w:rPr>
      </w:pPr>
    </w:p>
    <w:p w14:paraId="29D186BB" w14:textId="77777777" w:rsidR="00F43F06" w:rsidRPr="00F43F06" w:rsidRDefault="00F43F06" w:rsidP="00F43F06">
      <w:pPr>
        <w:ind w:left="720"/>
        <w:jc w:val="both"/>
        <w:rPr>
          <w:rFonts w:ascii="Arial" w:hAnsi="Arial" w:cs="Arial"/>
          <w:szCs w:val="24"/>
        </w:rPr>
      </w:pPr>
      <w:r w:rsidRPr="00F43F06">
        <w:rPr>
          <w:rFonts w:ascii="Arial" w:hAnsi="Arial" w:cs="Arial"/>
          <w:szCs w:val="24"/>
          <w:u w:val="single"/>
        </w:rPr>
        <w:t>Equipment Type:</w:t>
      </w:r>
      <w:r w:rsidRPr="00F43F06">
        <w:rPr>
          <w:rFonts w:ascii="Arial" w:hAnsi="Arial" w:cs="Arial"/>
          <w:szCs w:val="24"/>
        </w:rPr>
        <w:tab/>
      </w:r>
      <w:r w:rsidRPr="00F43F06">
        <w:rPr>
          <w:rFonts w:ascii="Arial" w:hAnsi="Arial" w:cs="Arial"/>
          <w:szCs w:val="24"/>
        </w:rPr>
        <w:tab/>
      </w:r>
      <w:r w:rsidRPr="00F43F06">
        <w:rPr>
          <w:rFonts w:ascii="Arial" w:hAnsi="Arial" w:cs="Arial"/>
          <w:szCs w:val="24"/>
        </w:rPr>
        <w:tab/>
      </w:r>
      <w:r w:rsidRPr="00F43F06">
        <w:rPr>
          <w:rFonts w:ascii="Arial" w:hAnsi="Arial" w:cs="Arial"/>
          <w:szCs w:val="24"/>
        </w:rPr>
        <w:tab/>
      </w:r>
      <w:r w:rsidRPr="00F43F06">
        <w:rPr>
          <w:rFonts w:ascii="Arial" w:hAnsi="Arial" w:cs="Arial"/>
          <w:szCs w:val="24"/>
        </w:rPr>
        <w:tab/>
      </w:r>
      <w:r w:rsidRPr="00F43F06">
        <w:rPr>
          <w:rFonts w:ascii="Arial" w:hAnsi="Arial" w:cs="Arial"/>
          <w:szCs w:val="24"/>
        </w:rPr>
        <w:tab/>
      </w:r>
      <w:r w:rsidRPr="00F43F06">
        <w:rPr>
          <w:rFonts w:ascii="Arial" w:hAnsi="Arial" w:cs="Arial"/>
          <w:szCs w:val="24"/>
          <w:u w:val="single"/>
        </w:rPr>
        <w:t>Billable Rate/Time Period</w:t>
      </w:r>
    </w:p>
    <w:p w14:paraId="662A87ED" w14:textId="77777777" w:rsidR="00F43F06" w:rsidRPr="00F43F06" w:rsidRDefault="00F43F06" w:rsidP="00F43F06">
      <w:pPr>
        <w:ind w:left="720"/>
        <w:jc w:val="both"/>
        <w:rPr>
          <w:rFonts w:ascii="Arial" w:hAnsi="Arial" w:cs="Arial"/>
          <w:szCs w:val="24"/>
        </w:rPr>
      </w:pPr>
    </w:p>
    <w:p w14:paraId="08AD80B1"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_____________________________________</w:t>
      </w:r>
      <w:r w:rsidRPr="00F43F06">
        <w:rPr>
          <w:rFonts w:ascii="Arial" w:hAnsi="Arial" w:cs="Arial"/>
          <w:szCs w:val="24"/>
        </w:rPr>
        <w:tab/>
      </w:r>
      <w:r w:rsidRPr="00F43F06">
        <w:rPr>
          <w:rFonts w:ascii="Arial" w:hAnsi="Arial" w:cs="Arial"/>
          <w:szCs w:val="24"/>
        </w:rPr>
        <w:tab/>
        <w:t>$_________/_____</w:t>
      </w:r>
    </w:p>
    <w:p w14:paraId="032EC7DE" w14:textId="77777777" w:rsidR="00F43F06" w:rsidRPr="00F43F06" w:rsidRDefault="00F43F06" w:rsidP="00F43F06">
      <w:pPr>
        <w:ind w:left="720"/>
        <w:jc w:val="both"/>
        <w:rPr>
          <w:rFonts w:ascii="Arial" w:hAnsi="Arial" w:cs="Arial"/>
          <w:szCs w:val="24"/>
        </w:rPr>
      </w:pPr>
      <w:r w:rsidRPr="00F43F06">
        <w:rPr>
          <w:rFonts w:ascii="Arial" w:hAnsi="Arial" w:cs="Arial"/>
          <w:szCs w:val="24"/>
        </w:rPr>
        <w:tab/>
      </w:r>
    </w:p>
    <w:p w14:paraId="34B640A7"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_____________________________________</w:t>
      </w:r>
      <w:r w:rsidRPr="00F43F06">
        <w:rPr>
          <w:rFonts w:ascii="Arial" w:hAnsi="Arial" w:cs="Arial"/>
          <w:szCs w:val="24"/>
        </w:rPr>
        <w:tab/>
      </w:r>
      <w:r w:rsidRPr="00F43F06">
        <w:rPr>
          <w:rFonts w:ascii="Arial" w:hAnsi="Arial" w:cs="Arial"/>
          <w:szCs w:val="24"/>
        </w:rPr>
        <w:tab/>
        <w:t>$_________/_____</w:t>
      </w:r>
    </w:p>
    <w:p w14:paraId="4EDB1891" w14:textId="77777777" w:rsidR="00F43F06" w:rsidRPr="00F43F06" w:rsidRDefault="00F43F06" w:rsidP="00F43F06">
      <w:pPr>
        <w:ind w:left="720"/>
        <w:jc w:val="both"/>
        <w:rPr>
          <w:rFonts w:ascii="Arial" w:hAnsi="Arial" w:cs="Arial"/>
          <w:szCs w:val="24"/>
        </w:rPr>
      </w:pPr>
    </w:p>
    <w:p w14:paraId="464A519C"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_____________________________________</w:t>
      </w:r>
      <w:r w:rsidRPr="00F43F06">
        <w:rPr>
          <w:rFonts w:ascii="Arial" w:hAnsi="Arial" w:cs="Arial"/>
          <w:szCs w:val="24"/>
        </w:rPr>
        <w:tab/>
      </w:r>
      <w:r w:rsidRPr="00F43F06">
        <w:rPr>
          <w:rFonts w:ascii="Arial" w:hAnsi="Arial" w:cs="Arial"/>
          <w:szCs w:val="24"/>
        </w:rPr>
        <w:tab/>
        <w:t>$_________/_____</w:t>
      </w:r>
    </w:p>
    <w:p w14:paraId="2C29ACD5" w14:textId="77777777" w:rsidR="00F43F06" w:rsidRPr="00F43F06" w:rsidRDefault="00F43F06" w:rsidP="00F43F06">
      <w:pPr>
        <w:ind w:left="720"/>
        <w:jc w:val="both"/>
        <w:rPr>
          <w:rFonts w:ascii="Arial" w:hAnsi="Arial" w:cs="Arial"/>
          <w:szCs w:val="24"/>
        </w:rPr>
      </w:pPr>
    </w:p>
    <w:p w14:paraId="55D83514"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_____________________________________</w:t>
      </w:r>
      <w:r w:rsidRPr="00F43F06">
        <w:rPr>
          <w:rFonts w:ascii="Arial" w:hAnsi="Arial" w:cs="Arial"/>
          <w:szCs w:val="24"/>
        </w:rPr>
        <w:tab/>
      </w:r>
      <w:r w:rsidRPr="00F43F06">
        <w:rPr>
          <w:rFonts w:ascii="Arial" w:hAnsi="Arial" w:cs="Arial"/>
          <w:szCs w:val="24"/>
        </w:rPr>
        <w:tab/>
        <w:t>$_________/_____</w:t>
      </w:r>
    </w:p>
    <w:p w14:paraId="627927F7" w14:textId="77777777" w:rsidR="00F43F06" w:rsidRPr="00F43F06" w:rsidRDefault="00F43F06" w:rsidP="00F43F06">
      <w:pPr>
        <w:ind w:left="720"/>
        <w:jc w:val="both"/>
        <w:rPr>
          <w:rFonts w:ascii="Arial" w:hAnsi="Arial" w:cs="Arial"/>
          <w:szCs w:val="24"/>
        </w:rPr>
      </w:pPr>
    </w:p>
    <w:p w14:paraId="5CFF178E"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_____________________________________</w:t>
      </w:r>
      <w:r w:rsidRPr="00F43F06">
        <w:rPr>
          <w:rFonts w:ascii="Arial" w:hAnsi="Arial" w:cs="Arial"/>
          <w:szCs w:val="24"/>
        </w:rPr>
        <w:tab/>
      </w:r>
      <w:r w:rsidRPr="00F43F06">
        <w:rPr>
          <w:rFonts w:ascii="Arial" w:hAnsi="Arial" w:cs="Arial"/>
          <w:szCs w:val="24"/>
        </w:rPr>
        <w:tab/>
        <w:t>$_________/_____</w:t>
      </w:r>
    </w:p>
    <w:p w14:paraId="413780D9" w14:textId="77777777" w:rsidR="00F43F06" w:rsidRPr="00F43F06" w:rsidRDefault="00F43F06" w:rsidP="00F43F06">
      <w:pPr>
        <w:ind w:left="720"/>
        <w:jc w:val="both"/>
        <w:rPr>
          <w:rFonts w:ascii="Arial" w:hAnsi="Arial" w:cs="Arial"/>
          <w:szCs w:val="24"/>
        </w:rPr>
      </w:pPr>
    </w:p>
    <w:p w14:paraId="0956CBA5"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_____________________________________</w:t>
      </w:r>
      <w:r w:rsidRPr="00F43F06">
        <w:rPr>
          <w:rFonts w:ascii="Arial" w:hAnsi="Arial" w:cs="Arial"/>
          <w:szCs w:val="24"/>
        </w:rPr>
        <w:tab/>
      </w:r>
      <w:r w:rsidRPr="00F43F06">
        <w:rPr>
          <w:rFonts w:ascii="Arial" w:hAnsi="Arial" w:cs="Arial"/>
          <w:szCs w:val="24"/>
        </w:rPr>
        <w:tab/>
        <w:t>$_________/_____</w:t>
      </w:r>
    </w:p>
    <w:p w14:paraId="61CF1F01" w14:textId="77777777" w:rsidR="00F43F06" w:rsidRPr="00F43F06" w:rsidRDefault="00F43F06" w:rsidP="00F43F06">
      <w:pPr>
        <w:ind w:left="720"/>
        <w:jc w:val="both"/>
        <w:rPr>
          <w:rFonts w:ascii="Arial" w:hAnsi="Arial" w:cs="Arial"/>
          <w:szCs w:val="24"/>
        </w:rPr>
      </w:pPr>
    </w:p>
    <w:p w14:paraId="61E54DB1"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_____________________________________</w:t>
      </w:r>
      <w:r w:rsidRPr="00F43F06">
        <w:rPr>
          <w:rFonts w:ascii="Arial" w:hAnsi="Arial" w:cs="Arial"/>
          <w:szCs w:val="24"/>
        </w:rPr>
        <w:tab/>
      </w:r>
      <w:r w:rsidRPr="00F43F06">
        <w:rPr>
          <w:rFonts w:ascii="Arial" w:hAnsi="Arial" w:cs="Arial"/>
          <w:szCs w:val="24"/>
        </w:rPr>
        <w:tab/>
        <w:t>$_________/_____</w:t>
      </w:r>
    </w:p>
    <w:p w14:paraId="34E26175" w14:textId="77777777" w:rsidR="00F43F06" w:rsidRPr="00F43F06" w:rsidRDefault="00F43F06" w:rsidP="00F43F06">
      <w:pPr>
        <w:ind w:left="720"/>
        <w:jc w:val="both"/>
        <w:rPr>
          <w:rFonts w:ascii="Arial" w:hAnsi="Arial" w:cs="Arial"/>
          <w:szCs w:val="24"/>
        </w:rPr>
      </w:pPr>
    </w:p>
    <w:p w14:paraId="6BC19D64"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_____________________________________</w:t>
      </w:r>
      <w:r w:rsidRPr="00F43F06">
        <w:rPr>
          <w:rFonts w:ascii="Arial" w:hAnsi="Arial" w:cs="Arial"/>
          <w:szCs w:val="24"/>
        </w:rPr>
        <w:tab/>
      </w:r>
      <w:r w:rsidRPr="00F43F06">
        <w:rPr>
          <w:rFonts w:ascii="Arial" w:hAnsi="Arial" w:cs="Arial"/>
          <w:szCs w:val="24"/>
        </w:rPr>
        <w:tab/>
        <w:t>$_________/_____</w:t>
      </w:r>
    </w:p>
    <w:p w14:paraId="7DC00800" w14:textId="77777777" w:rsidR="00F43F06" w:rsidRPr="00F43F06" w:rsidRDefault="00F43F06" w:rsidP="00F43F06">
      <w:pPr>
        <w:ind w:left="720"/>
        <w:jc w:val="both"/>
        <w:rPr>
          <w:rFonts w:ascii="Arial" w:hAnsi="Arial" w:cs="Arial"/>
          <w:szCs w:val="24"/>
        </w:rPr>
      </w:pPr>
    </w:p>
    <w:p w14:paraId="4AFFDFCF"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_____________________________________</w:t>
      </w:r>
      <w:r w:rsidRPr="00F43F06">
        <w:rPr>
          <w:rFonts w:ascii="Arial" w:hAnsi="Arial" w:cs="Arial"/>
          <w:szCs w:val="24"/>
        </w:rPr>
        <w:tab/>
      </w:r>
      <w:r w:rsidRPr="00F43F06">
        <w:rPr>
          <w:rFonts w:ascii="Arial" w:hAnsi="Arial" w:cs="Arial"/>
          <w:szCs w:val="24"/>
        </w:rPr>
        <w:tab/>
        <w:t>$_________/_____</w:t>
      </w:r>
    </w:p>
    <w:p w14:paraId="5539F31F" w14:textId="77777777" w:rsidR="00F43F06" w:rsidRPr="00F43F06" w:rsidRDefault="00F43F06" w:rsidP="00F43F06">
      <w:pPr>
        <w:ind w:left="720"/>
        <w:jc w:val="both"/>
        <w:rPr>
          <w:rFonts w:ascii="Arial" w:hAnsi="Arial" w:cs="Arial"/>
          <w:szCs w:val="24"/>
        </w:rPr>
      </w:pPr>
    </w:p>
    <w:p w14:paraId="2B30CDD2" w14:textId="77777777" w:rsidR="00F43F06" w:rsidRPr="00F43F06" w:rsidRDefault="00F43F06" w:rsidP="00F43F06">
      <w:pPr>
        <w:ind w:left="720"/>
        <w:jc w:val="both"/>
        <w:rPr>
          <w:rFonts w:ascii="Arial" w:hAnsi="Arial" w:cs="Arial"/>
          <w:szCs w:val="24"/>
        </w:rPr>
      </w:pPr>
      <w:r w:rsidRPr="00F43F06">
        <w:rPr>
          <w:rFonts w:ascii="Arial" w:hAnsi="Arial" w:cs="Arial"/>
          <w:szCs w:val="24"/>
        </w:rPr>
        <w:t>_____________________________________</w:t>
      </w:r>
      <w:r w:rsidRPr="00F43F06">
        <w:rPr>
          <w:rFonts w:ascii="Arial" w:hAnsi="Arial" w:cs="Arial"/>
          <w:szCs w:val="24"/>
        </w:rPr>
        <w:tab/>
      </w:r>
      <w:r w:rsidRPr="00F43F06">
        <w:rPr>
          <w:rFonts w:ascii="Arial" w:hAnsi="Arial" w:cs="Arial"/>
          <w:szCs w:val="24"/>
        </w:rPr>
        <w:tab/>
        <w:t>$_________/_____</w:t>
      </w:r>
    </w:p>
    <w:p w14:paraId="0A54B7CD" w14:textId="77777777" w:rsidR="00F43F06" w:rsidRPr="00F43F06" w:rsidRDefault="00F43F06" w:rsidP="00F43F06">
      <w:pPr>
        <w:ind w:left="720"/>
        <w:jc w:val="both"/>
        <w:rPr>
          <w:rFonts w:ascii="Arial" w:hAnsi="Arial" w:cs="Arial"/>
          <w:szCs w:val="24"/>
        </w:rPr>
      </w:pPr>
    </w:p>
    <w:p w14:paraId="6DD12701" w14:textId="79C24769" w:rsidR="00F43F06" w:rsidRPr="00F43F06" w:rsidRDefault="00F43F06" w:rsidP="00F43F06">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F43F06">
        <w:rPr>
          <w:rFonts w:ascii="Arial" w:hAnsi="Arial" w:cs="Arial"/>
          <w:spacing w:val="-2"/>
          <w:szCs w:val="24"/>
          <w:u w:val="single"/>
        </w:rPr>
        <w:t>Additional Eligible Reimbursable Expenses</w:t>
      </w:r>
      <w:r w:rsidRPr="00F43F06">
        <w:rPr>
          <w:rFonts w:ascii="Arial" w:hAnsi="Arial" w:cs="Arial"/>
          <w:spacing w:val="-2"/>
          <w:szCs w:val="24"/>
        </w:rPr>
        <w:t xml:space="preserve">. Reimbursable Expenses under T&amp;M Work may include direct Task Assignment expenses such as, rental equipment, temporary power, water usage, passenger vehicle mileage at the approved </w:t>
      </w:r>
      <w:smartTag w:uri="urn:schemas-microsoft-com:office:smarttags" w:element="stockticker">
        <w:r w:rsidRPr="00F43F06">
          <w:rPr>
            <w:rFonts w:ascii="Arial" w:hAnsi="Arial" w:cs="Arial"/>
            <w:spacing w:val="-2"/>
            <w:szCs w:val="24"/>
          </w:rPr>
          <w:t>IRS</w:t>
        </w:r>
      </w:smartTag>
      <w:r w:rsidRPr="00F43F06">
        <w:rPr>
          <w:rFonts w:ascii="Arial" w:hAnsi="Arial" w:cs="Arial"/>
          <w:spacing w:val="-2"/>
          <w:szCs w:val="24"/>
        </w:rPr>
        <w:t xml:space="preserve"> reimbursement rate, specialty vehicle mileage at rates defined herein, printing, copying, on-site trailer including utilities, telephones, computers, and </w:t>
      </w:r>
      <w:r w:rsidR="00BD35C4" w:rsidRPr="00F43F06">
        <w:rPr>
          <w:rFonts w:ascii="Arial" w:hAnsi="Arial" w:cs="Arial"/>
          <w:spacing w:val="-2"/>
          <w:szCs w:val="24"/>
        </w:rPr>
        <w:t>out-of-town</w:t>
      </w:r>
      <w:r w:rsidRPr="00F43F06">
        <w:rPr>
          <w:rFonts w:ascii="Arial" w:hAnsi="Arial" w:cs="Arial"/>
          <w:spacing w:val="-2"/>
          <w:szCs w:val="24"/>
        </w:rPr>
        <w:t xml:space="preserve"> travel, if pre-approved by Thornton. Other pre-approved expenses may include Builder’s Risk and Installation Floater, and Professional Liability insurance premiums as applicable to the Task Assignment.  </w:t>
      </w:r>
    </w:p>
    <w:p w14:paraId="1BAD3ABD" w14:textId="386D1E42" w:rsidR="00F43F06" w:rsidRPr="00F43F06" w:rsidRDefault="00F43F06" w:rsidP="00F43F06">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F43F06">
        <w:rPr>
          <w:rFonts w:ascii="Arial" w:hAnsi="Arial" w:cs="Arial"/>
          <w:spacing w:val="-2"/>
          <w:szCs w:val="24"/>
          <w:u w:val="single"/>
        </w:rPr>
        <w:t>Indirect Expenses</w:t>
      </w:r>
      <w:r w:rsidRPr="00F43F06">
        <w:rPr>
          <w:rFonts w:ascii="Arial" w:hAnsi="Arial" w:cs="Arial"/>
          <w:spacing w:val="-2"/>
          <w:szCs w:val="24"/>
        </w:rPr>
        <w:t xml:space="preserve">. Business expenses not directly related to performance of the Task Assignment, such as home office mortgage or rent, depreciation of office equipment, home office utilities, general business insurance, non-direct labor costs for administrative staff, accountants, human resources personnel, are not to be </w:t>
      </w:r>
      <w:r w:rsidRPr="00F43F06">
        <w:rPr>
          <w:rFonts w:ascii="Arial" w:hAnsi="Arial" w:cs="Arial"/>
          <w:spacing w:val="-2"/>
          <w:szCs w:val="24"/>
        </w:rPr>
        <w:lastRenderedPageBreak/>
        <w:t xml:space="preserve">included in reimbursable expenses.  Indirect Expenses will be recovered in the percentage markup defined below for Overhead and Profit </w:t>
      </w:r>
      <w:r w:rsidR="00BD35C4" w:rsidRPr="00F43F06">
        <w:rPr>
          <w:rFonts w:ascii="Arial" w:hAnsi="Arial" w:cs="Arial"/>
          <w:spacing w:val="-2"/>
          <w:szCs w:val="24"/>
        </w:rPr>
        <w:t>and applied</w:t>
      </w:r>
      <w:r w:rsidRPr="00F43F06">
        <w:rPr>
          <w:rFonts w:ascii="Arial" w:hAnsi="Arial" w:cs="Arial"/>
          <w:spacing w:val="-2"/>
          <w:szCs w:val="24"/>
        </w:rPr>
        <w:t xml:space="preserve"> to the total actual direct billable costs.  Subcontractors’ indirect expenses shall be included in Subcontractors’ lump sum bids.</w:t>
      </w:r>
    </w:p>
    <w:p w14:paraId="5FB31690" w14:textId="77777777" w:rsidR="00F43F06" w:rsidRPr="00F43F06" w:rsidRDefault="00F43F06" w:rsidP="00F43F06">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p w14:paraId="74756B1A" w14:textId="77777777" w:rsidR="00F43F06" w:rsidRPr="00F43F06" w:rsidRDefault="00F43F06" w:rsidP="00F43F06">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zCs w:val="24"/>
        </w:rPr>
      </w:pPr>
      <w:r w:rsidRPr="00F43F06">
        <w:rPr>
          <w:rFonts w:ascii="Arial" w:hAnsi="Arial" w:cs="Arial"/>
          <w:spacing w:val="-2"/>
          <w:szCs w:val="24"/>
          <w:u w:val="single"/>
        </w:rPr>
        <w:t>Markup Percentages for T&amp;M Work</w:t>
      </w:r>
      <w:r w:rsidRPr="00F43F06">
        <w:rPr>
          <w:rFonts w:ascii="Arial" w:hAnsi="Arial" w:cs="Arial"/>
          <w:spacing w:val="-2"/>
          <w:szCs w:val="24"/>
        </w:rPr>
        <w:t xml:space="preserve">. </w:t>
      </w:r>
      <w:r w:rsidRPr="00F43F06">
        <w:rPr>
          <w:rFonts w:ascii="Arial" w:hAnsi="Arial" w:cs="Arial"/>
          <w:szCs w:val="24"/>
        </w:rPr>
        <w:t xml:space="preserve">Percentages representing the </w:t>
      </w:r>
      <w:r w:rsidRPr="00F43F06">
        <w:rPr>
          <w:rFonts w:ascii="Arial" w:hAnsi="Arial" w:cs="Arial"/>
          <w:spacing w:val="-2"/>
          <w:szCs w:val="24"/>
        </w:rPr>
        <w:t>Service Provider</w:t>
      </w:r>
      <w:r w:rsidRPr="00F43F06">
        <w:rPr>
          <w:rFonts w:ascii="Arial" w:hAnsi="Arial" w:cs="Arial"/>
          <w:szCs w:val="24"/>
        </w:rPr>
        <w:t>’s markups to be applied to the T&amp;M costs for recovery of the following:</w:t>
      </w:r>
    </w:p>
    <w:p w14:paraId="579AA7A6" w14:textId="77777777" w:rsidR="00F43F06" w:rsidRPr="00F43F06" w:rsidRDefault="00F43F06" w:rsidP="00F43F06">
      <w:pPr>
        <w:ind w:left="720" w:hanging="720"/>
        <w:jc w:val="both"/>
        <w:rPr>
          <w:rFonts w:ascii="Arial" w:hAnsi="Arial" w:cs="Arial"/>
          <w:szCs w:val="24"/>
        </w:rPr>
      </w:pPr>
    </w:p>
    <w:p w14:paraId="631E7806" w14:textId="77777777" w:rsidR="00F43F06" w:rsidRPr="00F43F06" w:rsidRDefault="00F43F06" w:rsidP="00F43F06">
      <w:pPr>
        <w:tabs>
          <w:tab w:val="left" w:pos="5220"/>
        </w:tabs>
        <w:ind w:left="4320" w:hanging="2880"/>
        <w:jc w:val="both"/>
        <w:rPr>
          <w:rFonts w:ascii="Arial" w:hAnsi="Arial" w:cs="Arial"/>
          <w:szCs w:val="24"/>
        </w:rPr>
      </w:pPr>
      <w:r w:rsidRPr="00F43F06">
        <w:rPr>
          <w:rFonts w:ascii="Arial" w:hAnsi="Arial" w:cs="Arial"/>
          <w:szCs w:val="24"/>
        </w:rPr>
        <w:t>Insurance costs</w:t>
      </w:r>
      <w:r w:rsidRPr="00F43F06">
        <w:rPr>
          <w:rFonts w:ascii="Arial" w:hAnsi="Arial" w:cs="Arial"/>
          <w:szCs w:val="24"/>
        </w:rPr>
        <w:tab/>
        <w:t>____% (not including Builder’s Risk, Installation Floater, or Professional Liability)</w:t>
      </w:r>
    </w:p>
    <w:p w14:paraId="22EF6D86" w14:textId="77777777" w:rsidR="00F43F06" w:rsidRPr="00F43F06" w:rsidRDefault="00F43F06" w:rsidP="00F43F06">
      <w:pPr>
        <w:ind w:left="720" w:firstLine="720"/>
        <w:jc w:val="both"/>
        <w:rPr>
          <w:rFonts w:ascii="Arial" w:hAnsi="Arial" w:cs="Arial"/>
          <w:szCs w:val="24"/>
        </w:rPr>
      </w:pPr>
      <w:r w:rsidRPr="00F43F06">
        <w:rPr>
          <w:rFonts w:ascii="Arial" w:hAnsi="Arial" w:cs="Arial"/>
          <w:szCs w:val="24"/>
        </w:rPr>
        <w:t xml:space="preserve">Bond costs  </w:t>
      </w:r>
      <w:r w:rsidRPr="00F43F06">
        <w:rPr>
          <w:rFonts w:ascii="Arial" w:hAnsi="Arial" w:cs="Arial"/>
          <w:szCs w:val="24"/>
        </w:rPr>
        <w:tab/>
      </w:r>
      <w:r w:rsidRPr="00F43F06">
        <w:rPr>
          <w:rFonts w:ascii="Arial" w:hAnsi="Arial" w:cs="Arial"/>
          <w:szCs w:val="24"/>
        </w:rPr>
        <w:tab/>
      </w:r>
      <w:r w:rsidRPr="00F43F06">
        <w:rPr>
          <w:rFonts w:ascii="Arial" w:hAnsi="Arial" w:cs="Arial"/>
          <w:szCs w:val="24"/>
        </w:rPr>
        <w:tab/>
        <w:t>____%</w:t>
      </w:r>
    </w:p>
    <w:p w14:paraId="5649845F" w14:textId="77777777" w:rsidR="00F43F06" w:rsidRPr="00F43F06" w:rsidRDefault="00F43F06" w:rsidP="00F43F06">
      <w:pPr>
        <w:ind w:left="720" w:firstLine="720"/>
        <w:jc w:val="both"/>
        <w:rPr>
          <w:rFonts w:ascii="Arial" w:hAnsi="Arial" w:cs="Arial"/>
          <w:szCs w:val="24"/>
        </w:rPr>
      </w:pPr>
      <w:r w:rsidRPr="00F43F06">
        <w:rPr>
          <w:rFonts w:ascii="Arial" w:hAnsi="Arial" w:cs="Arial"/>
          <w:szCs w:val="24"/>
        </w:rPr>
        <w:t>Overhead and Profit</w:t>
      </w:r>
      <w:r w:rsidRPr="00F43F06">
        <w:rPr>
          <w:rFonts w:ascii="Arial" w:hAnsi="Arial" w:cs="Arial"/>
          <w:szCs w:val="24"/>
        </w:rPr>
        <w:tab/>
      </w:r>
      <w:r w:rsidRPr="00F43F06">
        <w:rPr>
          <w:rFonts w:ascii="Arial" w:hAnsi="Arial" w:cs="Arial"/>
          <w:szCs w:val="24"/>
        </w:rPr>
        <w:tab/>
        <w:t>____%</w:t>
      </w:r>
    </w:p>
    <w:p w14:paraId="5D68106B" w14:textId="77777777" w:rsidR="00F43F06" w:rsidRPr="00F43F06" w:rsidRDefault="00F43F06" w:rsidP="00F43F06">
      <w:pPr>
        <w:jc w:val="both"/>
        <w:rPr>
          <w:rFonts w:ascii="Arial" w:hAnsi="Arial" w:cs="Arial"/>
          <w:szCs w:val="24"/>
        </w:rPr>
      </w:pPr>
    </w:p>
    <w:p w14:paraId="7C4AC5E3" w14:textId="77777777" w:rsidR="00F43F06" w:rsidRPr="00F43F06" w:rsidRDefault="00F43F06" w:rsidP="00F43F06">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F43F06">
        <w:rPr>
          <w:rFonts w:ascii="Arial" w:hAnsi="Arial" w:cs="Arial"/>
          <w:spacing w:val="-2"/>
          <w:szCs w:val="24"/>
          <w:u w:val="single"/>
        </w:rPr>
        <w:t>Unit Prices</w:t>
      </w:r>
      <w:r w:rsidRPr="00F43F06">
        <w:rPr>
          <w:rFonts w:ascii="Arial" w:hAnsi="Arial" w:cs="Arial"/>
          <w:b/>
          <w:spacing w:val="-2"/>
          <w:szCs w:val="24"/>
        </w:rPr>
        <w:t xml:space="preserve">. </w:t>
      </w:r>
      <w:r w:rsidRPr="00F43F06">
        <w:rPr>
          <w:rFonts w:ascii="Arial" w:hAnsi="Arial" w:cs="Arial"/>
          <w:spacing w:val="-2"/>
          <w:szCs w:val="24"/>
        </w:rPr>
        <w:t xml:space="preserve">Unit Prices established in the Agreement or proposed for a given Task Assignment shall include compensation for all direct and indirect costs, including </w:t>
      </w:r>
      <w:r w:rsidRPr="00F43F06">
        <w:rPr>
          <w:rFonts w:ascii="Arial" w:hAnsi="Arial" w:cs="Arial"/>
          <w:szCs w:val="24"/>
        </w:rPr>
        <w:t>Overhead and Profit</w:t>
      </w:r>
      <w:r w:rsidRPr="00F43F06">
        <w:rPr>
          <w:rFonts w:ascii="Arial" w:hAnsi="Arial" w:cs="Arial"/>
          <w:szCs w:val="24"/>
        </w:rPr>
        <w:tab/>
        <w:t>(“</w:t>
      </w:r>
      <w:r w:rsidRPr="00F43F06">
        <w:rPr>
          <w:rFonts w:ascii="Arial" w:hAnsi="Arial" w:cs="Arial"/>
          <w:spacing w:val="-2"/>
          <w:szCs w:val="24"/>
        </w:rPr>
        <w:t>O&amp;P’) and Commercial General Liability (“CGL”), and Auto Insurance.  Builder’s Risk, Installation Floater, and/or Professional Liability insurance (if required) will be compensated separately at the actual premium cost.  Bonds, if required, will be compensated separately at actual cost of the bonds.  Bonds are required only for Task Assignments exceeding fifty thousand dollars ($50,000) in estimated value.</w:t>
      </w:r>
    </w:p>
    <w:p w14:paraId="5B96A0AE" w14:textId="77777777" w:rsidR="00F43F06" w:rsidRPr="00F43F06" w:rsidRDefault="00F43F06" w:rsidP="00F43F06">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p w14:paraId="3C9F1FEF" w14:textId="77777777" w:rsidR="00F43F06" w:rsidRPr="00F43F06" w:rsidRDefault="00F43F06" w:rsidP="00F43F06">
      <w:pPr>
        <w:autoSpaceDE w:val="0"/>
        <w:autoSpaceDN w:val="0"/>
        <w:ind w:left="720"/>
        <w:jc w:val="both"/>
        <w:rPr>
          <w:rFonts w:ascii="Arial" w:hAnsi="Arial" w:cs="Arial"/>
          <w:spacing w:val="-2"/>
          <w:szCs w:val="24"/>
        </w:rPr>
      </w:pPr>
      <w:r w:rsidRPr="00F43F06">
        <w:rPr>
          <w:rFonts w:ascii="Arial" w:hAnsi="Arial" w:cs="Arial"/>
          <w:szCs w:val="24"/>
          <w:u w:val="single"/>
        </w:rPr>
        <w:t>Lump Sum Price Quotes</w:t>
      </w:r>
      <w:r w:rsidRPr="00F43F06">
        <w:rPr>
          <w:rFonts w:ascii="Arial" w:hAnsi="Arial" w:cs="Arial"/>
          <w:spacing w:val="-2"/>
          <w:szCs w:val="24"/>
        </w:rPr>
        <w:t xml:space="preserve">.  Lump Sum Price Quotes shall be based on a specific Task Assignment’s Scope of Work developed by Thornton or developed by the Service Provider and approved by Thornton.  Lump Sum Price quotes for a given Task Assignment shall include compensation for all direct and indirect costs, including O&amp;P, Insurance, and Bond costs if required.  </w:t>
      </w:r>
    </w:p>
    <w:p w14:paraId="3F98DCCE" w14:textId="77777777" w:rsidR="00F43F06" w:rsidRPr="00F43F06" w:rsidRDefault="00F43F06" w:rsidP="00F43F06">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p w14:paraId="665BA187" w14:textId="0D7B26B3" w:rsidR="00F43F06" w:rsidRPr="00F43F06" w:rsidRDefault="00F43F06" w:rsidP="00F43F06">
      <w:pPr>
        <w:autoSpaceDE w:val="0"/>
        <w:autoSpaceDN w:val="0"/>
        <w:ind w:left="720"/>
        <w:jc w:val="both"/>
        <w:rPr>
          <w:rFonts w:ascii="Arial" w:hAnsi="Arial" w:cs="Arial"/>
          <w:spacing w:val="-2"/>
          <w:szCs w:val="24"/>
        </w:rPr>
      </w:pPr>
      <w:r w:rsidRPr="00F43F06">
        <w:rPr>
          <w:rFonts w:ascii="Arial" w:hAnsi="Arial" w:cs="Arial"/>
          <w:spacing w:val="-2"/>
          <w:szCs w:val="24"/>
        </w:rPr>
        <w:t xml:space="preserve">Thornton may require that Lump Sum Price Quotes be broken down into a Schedule of Values for discrete elements of Work within the Task Assignment’s Scope of </w:t>
      </w:r>
      <w:r w:rsidR="00BD35C4" w:rsidRPr="00F43F06">
        <w:rPr>
          <w:rFonts w:ascii="Arial" w:hAnsi="Arial" w:cs="Arial"/>
          <w:spacing w:val="-2"/>
          <w:szCs w:val="24"/>
        </w:rPr>
        <w:t>Work and</w:t>
      </w:r>
      <w:r w:rsidRPr="00F43F06">
        <w:rPr>
          <w:rFonts w:ascii="Arial" w:hAnsi="Arial" w:cs="Arial"/>
          <w:spacing w:val="-2"/>
          <w:szCs w:val="24"/>
        </w:rPr>
        <w:t xml:space="preserve"> may include separate items for Mobilization and/or Demobilization.  </w:t>
      </w:r>
    </w:p>
    <w:p w14:paraId="645097F3" w14:textId="77777777" w:rsidR="00F43F06" w:rsidRPr="00F43F06" w:rsidRDefault="00F43F06" w:rsidP="00F43F06">
      <w:pPr>
        <w:autoSpaceDE w:val="0"/>
        <w:autoSpaceDN w:val="0"/>
        <w:ind w:left="720"/>
        <w:jc w:val="both"/>
        <w:rPr>
          <w:rFonts w:ascii="Arial" w:hAnsi="Arial" w:cs="Arial"/>
          <w:spacing w:val="-2"/>
          <w:szCs w:val="24"/>
        </w:rPr>
      </w:pPr>
    </w:p>
    <w:p w14:paraId="02E2324D" w14:textId="77777777" w:rsidR="00F43F06" w:rsidRPr="00F43F06" w:rsidRDefault="00F43F06" w:rsidP="00F43F06">
      <w:pPr>
        <w:autoSpaceDE w:val="0"/>
        <w:autoSpaceDN w:val="0"/>
        <w:ind w:left="720"/>
        <w:jc w:val="both"/>
        <w:rPr>
          <w:rFonts w:ascii="Arial" w:hAnsi="Arial" w:cs="Arial"/>
          <w:spacing w:val="-2"/>
          <w:szCs w:val="24"/>
        </w:rPr>
      </w:pPr>
      <w:r w:rsidRPr="00F43F06">
        <w:rPr>
          <w:rFonts w:ascii="Arial" w:hAnsi="Arial" w:cs="Arial"/>
          <w:spacing w:val="-2"/>
          <w:szCs w:val="24"/>
        </w:rPr>
        <w:t>Compensation for Work compensated under a Lump Sum Price quote that extends over more than one month may be based on Thornton’s estimated percent complete of the total Work or the estimated percent complete of the individual Schedule of Values items if a Schedule of Values was required.</w:t>
      </w:r>
    </w:p>
    <w:p w14:paraId="3AB07277" w14:textId="77777777" w:rsidR="00F43F06" w:rsidRPr="00F43F06" w:rsidRDefault="00F43F06" w:rsidP="00F43F06">
      <w:pPr>
        <w:autoSpaceDE w:val="0"/>
        <w:autoSpaceDN w:val="0"/>
        <w:ind w:left="720"/>
        <w:rPr>
          <w:rFonts w:ascii="Arial" w:hAnsi="Arial" w:cs="Arial"/>
          <w:szCs w:val="24"/>
        </w:rPr>
      </w:pPr>
    </w:p>
    <w:p w14:paraId="1E240571" w14:textId="77777777" w:rsidR="00F43F06" w:rsidRPr="00F43F06" w:rsidRDefault="00F43F06" w:rsidP="00F43F06">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F43F06">
        <w:rPr>
          <w:rFonts w:ascii="Arial" w:hAnsi="Arial" w:cs="Arial"/>
          <w:szCs w:val="24"/>
          <w:u w:val="single"/>
        </w:rPr>
        <w:t>Sealed Bids from Pre-qualified Service Providers</w:t>
      </w:r>
      <w:r w:rsidRPr="00F43F06">
        <w:rPr>
          <w:rFonts w:ascii="Arial" w:hAnsi="Arial" w:cs="Arial"/>
          <w:b/>
          <w:szCs w:val="24"/>
        </w:rPr>
        <w:t xml:space="preserve">. </w:t>
      </w:r>
      <w:r w:rsidRPr="00F43F06">
        <w:rPr>
          <w:rFonts w:ascii="Arial" w:hAnsi="Arial" w:cs="Arial"/>
          <w:spacing w:val="-2"/>
          <w:szCs w:val="24"/>
        </w:rPr>
        <w:t xml:space="preserve">At Thornton’s sole discretion, Sealed Bids may be requested to determine the compensation for non-emergency Work.  Thornton will provide a Task Assignment’s Scope of Work from which pre-qualified Service Providers will be requested to develop a Sealed Bid.  In addition to the Bid price, Thornton may request additional information for evaluation, such as the proposed schedule of Work for the Task Assignment and/or credentials of the specific personnel proposed for the Work under the Task Assignment.  Pre-qualified Service Providers are defined as those firms awarded an Agreement pursuant to a RFQ/P.  Thornton may request that the Sealed Bids be in the form of T&amp;M estimates, Unit Price Bids, and/or Lump Sum Price Bids as described above.  The awarded firm under a Sealed Bid process will be notified of Award by a written Notice to </w:t>
      </w:r>
      <w:r w:rsidRPr="00F43F06">
        <w:rPr>
          <w:rFonts w:ascii="Arial" w:hAnsi="Arial" w:cs="Arial"/>
          <w:spacing w:val="-2"/>
          <w:szCs w:val="24"/>
        </w:rPr>
        <w:lastRenderedPageBreak/>
        <w:t xml:space="preserve">Proceed (NTP) or a purchase order issued to the Service Provider by Thornton.  </w:t>
      </w:r>
    </w:p>
    <w:p w14:paraId="66F19218" w14:textId="77777777" w:rsidR="00F43F06" w:rsidRPr="00F43F06" w:rsidRDefault="00F43F06" w:rsidP="00F43F06">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2"/>
          <w:szCs w:val="24"/>
          <w:u w:val="single"/>
        </w:rPr>
      </w:pPr>
    </w:p>
    <w:p w14:paraId="5C7E9EF3" w14:textId="77777777" w:rsidR="00F43F06" w:rsidRPr="00F43F06" w:rsidRDefault="00F43F06" w:rsidP="00FE3F8E">
      <w:pPr>
        <w:widowControl w:val="0"/>
        <w:numPr>
          <w:ilvl w:val="0"/>
          <w:numId w:val="2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rPr>
          <w:rFonts w:ascii="Arial" w:hAnsi="Arial" w:cs="Arial"/>
          <w:spacing w:val="-2"/>
          <w:szCs w:val="24"/>
        </w:rPr>
      </w:pPr>
      <w:r w:rsidRPr="00F43F06">
        <w:rPr>
          <w:rFonts w:ascii="Arial" w:hAnsi="Arial" w:cs="Arial"/>
          <w:b/>
          <w:spacing w:val="-2"/>
          <w:szCs w:val="24"/>
          <w:u w:val="single"/>
        </w:rPr>
        <w:t>Remedy of Defective Work during Construction and Warranty Correction Work</w:t>
      </w:r>
      <w:r w:rsidRPr="00F43F06">
        <w:rPr>
          <w:rFonts w:ascii="Arial" w:hAnsi="Arial" w:cs="Arial"/>
          <w:b/>
          <w:spacing w:val="-2"/>
          <w:szCs w:val="24"/>
        </w:rPr>
        <w:t>.</w:t>
      </w:r>
      <w:r w:rsidRPr="00F43F06">
        <w:rPr>
          <w:rFonts w:ascii="Arial" w:hAnsi="Arial" w:cs="Arial"/>
          <w:spacing w:val="-2"/>
          <w:szCs w:val="24"/>
        </w:rPr>
        <w:t xml:space="preserve">  </w:t>
      </w:r>
      <w:r w:rsidRPr="00F43F06">
        <w:rPr>
          <w:rFonts w:ascii="Arial" w:hAnsi="Arial" w:cs="Arial"/>
          <w:szCs w:val="24"/>
        </w:rPr>
        <w:t xml:space="preserve">Costs incurred by the </w:t>
      </w:r>
      <w:r w:rsidRPr="00F43F06">
        <w:rPr>
          <w:rFonts w:ascii="Arial" w:hAnsi="Arial" w:cs="Arial"/>
          <w:spacing w:val="-2"/>
          <w:szCs w:val="24"/>
        </w:rPr>
        <w:t>Service Provider</w:t>
      </w:r>
      <w:r w:rsidRPr="00F43F06">
        <w:rPr>
          <w:rFonts w:ascii="Arial" w:hAnsi="Arial" w:cs="Arial"/>
          <w:szCs w:val="24"/>
        </w:rPr>
        <w:t xml:space="preserve"> to repair defective Work, whether during the Work phase or during the Guarantee Period, are not reimbursable to the </w:t>
      </w:r>
      <w:r w:rsidRPr="00F43F06">
        <w:rPr>
          <w:rFonts w:ascii="Arial" w:hAnsi="Arial" w:cs="Arial"/>
          <w:spacing w:val="-2"/>
          <w:szCs w:val="24"/>
        </w:rPr>
        <w:t>Service Provider</w:t>
      </w:r>
      <w:r w:rsidRPr="00F43F06">
        <w:rPr>
          <w:rFonts w:ascii="Arial" w:hAnsi="Arial" w:cs="Arial"/>
          <w:szCs w:val="24"/>
        </w:rPr>
        <w:t xml:space="preserve"> and shall not be included in invoices or Applications for Payment.  The Service Provider, at no additional cost to Thornton, shall repair defective Work.</w:t>
      </w:r>
    </w:p>
    <w:p w14:paraId="2B77BA47" w14:textId="77777777" w:rsidR="00F43F06" w:rsidRPr="00F43F06" w:rsidRDefault="00F43F06" w:rsidP="00F43F06">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2"/>
          <w:szCs w:val="24"/>
        </w:rPr>
      </w:pPr>
    </w:p>
    <w:p w14:paraId="2B320BAA" w14:textId="77777777" w:rsidR="00F43F06" w:rsidRPr="00F43F06" w:rsidRDefault="00F43F06" w:rsidP="00F43F06">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2"/>
          <w:szCs w:val="24"/>
        </w:rPr>
      </w:pPr>
    </w:p>
    <w:p w14:paraId="579676A2" w14:textId="40074A0F" w:rsidR="00942C19" w:rsidRPr="00B9687F" w:rsidRDefault="00B9687F" w:rsidP="00B9687F">
      <w:pPr>
        <w:pStyle w:val="BodyText"/>
        <w:rPr>
          <w:rFonts w:cs="Arial"/>
          <w:szCs w:val="24"/>
        </w:rPr>
      </w:pPr>
      <w:r>
        <w:rPr>
          <w:rFonts w:cs="Arial"/>
          <w:szCs w:val="24"/>
        </w:rPr>
        <w:tab/>
      </w:r>
      <w:r>
        <w:rPr>
          <w:rFonts w:cs="Arial"/>
          <w:szCs w:val="24"/>
        </w:rPr>
        <w:tab/>
      </w:r>
    </w:p>
    <w:sectPr w:rsidR="00942C19" w:rsidRPr="00B9687F"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8E692" w14:textId="54F5F88F"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1A12E2D"/>
    <w:multiLevelType w:val="hybridMultilevel"/>
    <w:tmpl w:val="3556A61C"/>
    <w:lvl w:ilvl="0" w:tplc="EA321590">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39"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0"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9"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8"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F510EDE"/>
    <w:multiLevelType w:val="hybridMultilevel"/>
    <w:tmpl w:val="1EBED9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6059633">
    <w:abstractNumId w:val="68"/>
  </w:num>
  <w:num w:numId="2" w16cid:durableId="1448697063">
    <w:abstractNumId w:val="46"/>
  </w:num>
  <w:num w:numId="3" w16cid:durableId="866212422">
    <w:abstractNumId w:val="23"/>
  </w:num>
  <w:num w:numId="4" w16cid:durableId="1122111117">
    <w:abstractNumId w:val="75"/>
  </w:num>
  <w:num w:numId="5" w16cid:durableId="107433094">
    <w:abstractNumId w:val="82"/>
  </w:num>
  <w:num w:numId="6" w16cid:durableId="819033088">
    <w:abstractNumId w:val="18"/>
  </w:num>
  <w:num w:numId="7" w16cid:durableId="826672706">
    <w:abstractNumId w:val="65"/>
  </w:num>
  <w:num w:numId="8" w16cid:durableId="2084983347">
    <w:abstractNumId w:val="69"/>
  </w:num>
  <w:num w:numId="9" w16cid:durableId="553810863">
    <w:abstractNumId w:val="27"/>
  </w:num>
  <w:num w:numId="10" w16cid:durableId="1472862067">
    <w:abstractNumId w:val="81"/>
  </w:num>
  <w:num w:numId="11" w16cid:durableId="433288225">
    <w:abstractNumId w:val="53"/>
  </w:num>
  <w:num w:numId="12" w16cid:durableId="32006028">
    <w:abstractNumId w:val="62"/>
  </w:num>
  <w:num w:numId="13" w16cid:durableId="1462458996">
    <w:abstractNumId w:val="63"/>
  </w:num>
  <w:num w:numId="14" w16cid:durableId="815684340">
    <w:abstractNumId w:val="66"/>
  </w:num>
  <w:num w:numId="15" w16cid:durableId="851380646">
    <w:abstractNumId w:val="55"/>
  </w:num>
  <w:num w:numId="16" w16cid:durableId="1549757771">
    <w:abstractNumId w:val="28"/>
  </w:num>
  <w:num w:numId="17" w16cid:durableId="2062558736">
    <w:abstractNumId w:val="70"/>
  </w:num>
  <w:num w:numId="18" w16cid:durableId="1929969942">
    <w:abstractNumId w:val="9"/>
  </w:num>
  <w:num w:numId="19" w16cid:durableId="116729185">
    <w:abstractNumId w:val="58"/>
  </w:num>
  <w:num w:numId="20" w16cid:durableId="734009842">
    <w:abstractNumId w:val="67"/>
  </w:num>
  <w:num w:numId="21" w16cid:durableId="676612644">
    <w:abstractNumId w:val="42"/>
  </w:num>
  <w:num w:numId="22" w16cid:durableId="1357073580">
    <w:abstractNumId w:val="60"/>
  </w:num>
  <w:num w:numId="23" w16cid:durableId="16047286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5907256">
    <w:abstractNumId w:val="5"/>
  </w:num>
  <w:num w:numId="25" w16cid:durableId="13389696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3952652">
    <w:abstractNumId w:val="49"/>
  </w:num>
  <w:num w:numId="27" w16cid:durableId="425661370">
    <w:abstractNumId w:val="2"/>
  </w:num>
  <w:num w:numId="28" w16cid:durableId="1739354762">
    <w:abstractNumId w:val="17"/>
  </w:num>
  <w:num w:numId="29" w16cid:durableId="1152913942">
    <w:abstractNumId w:val="36"/>
  </w:num>
  <w:num w:numId="30" w16cid:durableId="45765024">
    <w:abstractNumId w:val="35"/>
  </w:num>
  <w:num w:numId="31" w16cid:durableId="19285251">
    <w:abstractNumId w:val="21"/>
  </w:num>
  <w:num w:numId="32" w16cid:durableId="1177116531">
    <w:abstractNumId w:val="29"/>
  </w:num>
  <w:num w:numId="33" w16cid:durableId="1913661448">
    <w:abstractNumId w:val="0"/>
  </w:num>
  <w:num w:numId="34" w16cid:durableId="464205345">
    <w:abstractNumId w:val="72"/>
  </w:num>
  <w:num w:numId="35" w16cid:durableId="1588466296">
    <w:abstractNumId w:val="8"/>
  </w:num>
  <w:num w:numId="36" w16cid:durableId="472866411">
    <w:abstractNumId w:val="61"/>
  </w:num>
  <w:num w:numId="37" w16cid:durableId="2110734820">
    <w:abstractNumId w:val="77"/>
  </w:num>
  <w:num w:numId="38" w16cid:durableId="693311144">
    <w:abstractNumId w:val="4"/>
  </w:num>
  <w:num w:numId="39" w16cid:durableId="1562327559">
    <w:abstractNumId w:val="51"/>
  </w:num>
  <w:num w:numId="40" w16cid:durableId="1284071843">
    <w:abstractNumId w:val="10"/>
  </w:num>
  <w:num w:numId="41" w16cid:durableId="104156135">
    <w:abstractNumId w:val="1"/>
  </w:num>
  <w:num w:numId="42" w16cid:durableId="1134910103">
    <w:abstractNumId w:val="3"/>
  </w:num>
  <w:num w:numId="43" w16cid:durableId="559092523">
    <w:abstractNumId w:val="15"/>
  </w:num>
  <w:num w:numId="44" w16cid:durableId="572080006">
    <w:abstractNumId w:val="19"/>
  </w:num>
  <w:num w:numId="45" w16cid:durableId="72048972">
    <w:abstractNumId w:val="50"/>
  </w:num>
  <w:num w:numId="46" w16cid:durableId="865944079">
    <w:abstractNumId w:val="37"/>
  </w:num>
  <w:num w:numId="47" w16cid:durableId="1300109148">
    <w:abstractNumId w:val="57"/>
  </w:num>
  <w:num w:numId="48" w16cid:durableId="1014959016">
    <w:abstractNumId w:val="48"/>
  </w:num>
  <w:num w:numId="49" w16cid:durableId="473839138">
    <w:abstractNumId w:val="52"/>
  </w:num>
  <w:num w:numId="50" w16cid:durableId="890119094">
    <w:abstractNumId w:val="73"/>
  </w:num>
  <w:num w:numId="51" w16cid:durableId="1511141318">
    <w:abstractNumId w:val="44"/>
  </w:num>
  <w:num w:numId="52" w16cid:durableId="1875262760">
    <w:abstractNumId w:val="6"/>
  </w:num>
  <w:num w:numId="53" w16cid:durableId="364798209">
    <w:abstractNumId w:val="43"/>
  </w:num>
  <w:num w:numId="54" w16cid:durableId="374039323">
    <w:abstractNumId w:val="24"/>
  </w:num>
  <w:num w:numId="55" w16cid:durableId="95642150">
    <w:abstractNumId w:val="16"/>
  </w:num>
  <w:num w:numId="56" w16cid:durableId="876293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38519260">
    <w:abstractNumId w:val="78"/>
  </w:num>
  <w:num w:numId="58" w16cid:durableId="1247618593">
    <w:abstractNumId w:val="39"/>
  </w:num>
  <w:num w:numId="59" w16cid:durableId="342901833">
    <w:abstractNumId w:val="80"/>
  </w:num>
  <w:num w:numId="60" w16cid:durableId="1448542985">
    <w:abstractNumId w:val="56"/>
  </w:num>
  <w:num w:numId="61" w16cid:durableId="1054426692">
    <w:abstractNumId w:val="54"/>
  </w:num>
  <w:num w:numId="62" w16cid:durableId="268239060">
    <w:abstractNumId w:val="41"/>
  </w:num>
  <w:num w:numId="63" w16cid:durableId="681787685">
    <w:abstractNumId w:val="34"/>
  </w:num>
  <w:num w:numId="64" w16cid:durableId="1986615714">
    <w:abstractNumId w:val="14"/>
  </w:num>
  <w:num w:numId="65" w16cid:durableId="1050494891">
    <w:abstractNumId w:val="26"/>
  </w:num>
  <w:num w:numId="66" w16cid:durableId="2095935510">
    <w:abstractNumId w:val="11"/>
  </w:num>
  <w:num w:numId="67" w16cid:durableId="314722502">
    <w:abstractNumId w:val="32"/>
  </w:num>
  <w:num w:numId="68" w16cid:durableId="1324433910">
    <w:abstractNumId w:val="45"/>
  </w:num>
  <w:num w:numId="69" w16cid:durableId="1561285816">
    <w:abstractNumId w:val="47"/>
  </w:num>
  <w:num w:numId="70" w16cid:durableId="324404535">
    <w:abstractNumId w:val="74"/>
  </w:num>
  <w:num w:numId="71" w16cid:durableId="369959458">
    <w:abstractNumId w:val="30"/>
  </w:num>
  <w:num w:numId="72" w16cid:durableId="1989239407">
    <w:abstractNumId w:val="13"/>
  </w:num>
  <w:num w:numId="73" w16cid:durableId="855656646">
    <w:abstractNumId w:val="7"/>
  </w:num>
  <w:num w:numId="74" w16cid:durableId="691228172">
    <w:abstractNumId w:val="20"/>
  </w:num>
  <w:num w:numId="75" w16cid:durableId="253562402">
    <w:abstractNumId w:val="31"/>
  </w:num>
  <w:num w:numId="76" w16cid:durableId="1992558168">
    <w:abstractNumId w:val="33"/>
  </w:num>
  <w:num w:numId="77" w16cid:durableId="902446784">
    <w:abstractNumId w:val="12"/>
  </w:num>
  <w:num w:numId="78" w16cid:durableId="164576819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4779804">
    <w:abstractNumId w:val="64"/>
  </w:num>
  <w:num w:numId="80" w16cid:durableId="1796484911">
    <w:abstractNumId w:val="40"/>
  </w:num>
  <w:num w:numId="81" w16cid:durableId="555432874">
    <w:abstractNumId w:val="76"/>
  </w:num>
  <w:num w:numId="82" w16cid:durableId="1989817909">
    <w:abstractNumId w:val="59"/>
  </w:num>
  <w:num w:numId="83" w16cid:durableId="554900839">
    <w:abstractNumId w:val="83"/>
  </w:num>
  <w:num w:numId="84" w16cid:durableId="1006784074">
    <w:abstractNumId w:val="71"/>
  </w:num>
  <w:num w:numId="85" w16cid:durableId="116847310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7486841">
    <w:abstractNumId w:val="22"/>
  </w:num>
  <w:num w:numId="87" w16cid:durableId="20132792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5E83"/>
    <w:rsid w:val="00017525"/>
    <w:rsid w:val="00017C04"/>
    <w:rsid w:val="00022254"/>
    <w:rsid w:val="00023C97"/>
    <w:rsid w:val="00023E72"/>
    <w:rsid w:val="00024B53"/>
    <w:rsid w:val="00024C54"/>
    <w:rsid w:val="000251AC"/>
    <w:rsid w:val="00027D02"/>
    <w:rsid w:val="00031CA4"/>
    <w:rsid w:val="000421B7"/>
    <w:rsid w:val="00045ACD"/>
    <w:rsid w:val="00055A2B"/>
    <w:rsid w:val="00056B42"/>
    <w:rsid w:val="00056E32"/>
    <w:rsid w:val="000676F0"/>
    <w:rsid w:val="000705C5"/>
    <w:rsid w:val="00072EFD"/>
    <w:rsid w:val="00076135"/>
    <w:rsid w:val="00076962"/>
    <w:rsid w:val="00077B62"/>
    <w:rsid w:val="00080CB7"/>
    <w:rsid w:val="00081B22"/>
    <w:rsid w:val="0008220A"/>
    <w:rsid w:val="00082C4A"/>
    <w:rsid w:val="00082E31"/>
    <w:rsid w:val="00092A80"/>
    <w:rsid w:val="000A15D4"/>
    <w:rsid w:val="000A1DD7"/>
    <w:rsid w:val="000A1E90"/>
    <w:rsid w:val="000B33CD"/>
    <w:rsid w:val="000B472D"/>
    <w:rsid w:val="000B7100"/>
    <w:rsid w:val="000C00EB"/>
    <w:rsid w:val="000C29FD"/>
    <w:rsid w:val="000C3DF1"/>
    <w:rsid w:val="000C40BE"/>
    <w:rsid w:val="000C675A"/>
    <w:rsid w:val="000D0FFB"/>
    <w:rsid w:val="000D5E91"/>
    <w:rsid w:val="000D722E"/>
    <w:rsid w:val="000E2430"/>
    <w:rsid w:val="000E78F7"/>
    <w:rsid w:val="000E7B4A"/>
    <w:rsid w:val="000E7CEA"/>
    <w:rsid w:val="000F0CDB"/>
    <w:rsid w:val="000F1EA7"/>
    <w:rsid w:val="000F20DA"/>
    <w:rsid w:val="000F4B90"/>
    <w:rsid w:val="000F7755"/>
    <w:rsid w:val="00104C69"/>
    <w:rsid w:val="00112638"/>
    <w:rsid w:val="001146F7"/>
    <w:rsid w:val="00122BA6"/>
    <w:rsid w:val="00123A15"/>
    <w:rsid w:val="00125DF5"/>
    <w:rsid w:val="0012633A"/>
    <w:rsid w:val="001278B1"/>
    <w:rsid w:val="00127FD3"/>
    <w:rsid w:val="001306DC"/>
    <w:rsid w:val="001327D5"/>
    <w:rsid w:val="0013615E"/>
    <w:rsid w:val="00137046"/>
    <w:rsid w:val="00140D15"/>
    <w:rsid w:val="0014182C"/>
    <w:rsid w:val="00143EBE"/>
    <w:rsid w:val="00146217"/>
    <w:rsid w:val="00146381"/>
    <w:rsid w:val="00146512"/>
    <w:rsid w:val="00146DD3"/>
    <w:rsid w:val="00153478"/>
    <w:rsid w:val="00157509"/>
    <w:rsid w:val="00167085"/>
    <w:rsid w:val="00170641"/>
    <w:rsid w:val="00176B57"/>
    <w:rsid w:val="00177936"/>
    <w:rsid w:val="00185C6C"/>
    <w:rsid w:val="001866B0"/>
    <w:rsid w:val="00186B18"/>
    <w:rsid w:val="00190B01"/>
    <w:rsid w:val="001A7433"/>
    <w:rsid w:val="001B0A14"/>
    <w:rsid w:val="001B0FCB"/>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13708"/>
    <w:rsid w:val="002212D8"/>
    <w:rsid w:val="00224F22"/>
    <w:rsid w:val="0022709B"/>
    <w:rsid w:val="002330B5"/>
    <w:rsid w:val="002338F0"/>
    <w:rsid w:val="002378FF"/>
    <w:rsid w:val="0024258C"/>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492F"/>
    <w:rsid w:val="002858CE"/>
    <w:rsid w:val="00285CB2"/>
    <w:rsid w:val="002867CF"/>
    <w:rsid w:val="00290322"/>
    <w:rsid w:val="0029590C"/>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D7D07"/>
    <w:rsid w:val="002E3FCF"/>
    <w:rsid w:val="002E638C"/>
    <w:rsid w:val="002F0161"/>
    <w:rsid w:val="002F1134"/>
    <w:rsid w:val="002F45E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37FF7"/>
    <w:rsid w:val="00341F2C"/>
    <w:rsid w:val="00347646"/>
    <w:rsid w:val="0035034C"/>
    <w:rsid w:val="00361BED"/>
    <w:rsid w:val="00364C15"/>
    <w:rsid w:val="00366409"/>
    <w:rsid w:val="00366982"/>
    <w:rsid w:val="00367EA4"/>
    <w:rsid w:val="0037491E"/>
    <w:rsid w:val="003768B7"/>
    <w:rsid w:val="00380CFA"/>
    <w:rsid w:val="003813F1"/>
    <w:rsid w:val="00382A64"/>
    <w:rsid w:val="00383CDB"/>
    <w:rsid w:val="0038673C"/>
    <w:rsid w:val="00393F27"/>
    <w:rsid w:val="00394368"/>
    <w:rsid w:val="00396071"/>
    <w:rsid w:val="00397B8E"/>
    <w:rsid w:val="003A0151"/>
    <w:rsid w:val="003A09D5"/>
    <w:rsid w:val="003A253A"/>
    <w:rsid w:val="003A2BE7"/>
    <w:rsid w:val="003A2D6A"/>
    <w:rsid w:val="003A396C"/>
    <w:rsid w:val="003A40C3"/>
    <w:rsid w:val="003A6AA7"/>
    <w:rsid w:val="003B379E"/>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1D"/>
    <w:rsid w:val="0044125A"/>
    <w:rsid w:val="004428C6"/>
    <w:rsid w:val="0044367B"/>
    <w:rsid w:val="004453C0"/>
    <w:rsid w:val="004467A6"/>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5103"/>
    <w:rsid w:val="004954C8"/>
    <w:rsid w:val="004A4832"/>
    <w:rsid w:val="004A76D3"/>
    <w:rsid w:val="004B09E1"/>
    <w:rsid w:val="004B74A6"/>
    <w:rsid w:val="004C1B58"/>
    <w:rsid w:val="004C5452"/>
    <w:rsid w:val="004D400B"/>
    <w:rsid w:val="004D5AB5"/>
    <w:rsid w:val="004E0198"/>
    <w:rsid w:val="004E0680"/>
    <w:rsid w:val="004E26FA"/>
    <w:rsid w:val="004E6941"/>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7128"/>
    <w:rsid w:val="00517792"/>
    <w:rsid w:val="00521034"/>
    <w:rsid w:val="005235CF"/>
    <w:rsid w:val="00523F42"/>
    <w:rsid w:val="0052748C"/>
    <w:rsid w:val="00530FFE"/>
    <w:rsid w:val="00531502"/>
    <w:rsid w:val="00531A10"/>
    <w:rsid w:val="00531EEB"/>
    <w:rsid w:val="00540F1B"/>
    <w:rsid w:val="005514A6"/>
    <w:rsid w:val="00556038"/>
    <w:rsid w:val="0056098A"/>
    <w:rsid w:val="00560E11"/>
    <w:rsid w:val="0056566C"/>
    <w:rsid w:val="005656BC"/>
    <w:rsid w:val="00565F36"/>
    <w:rsid w:val="005662E0"/>
    <w:rsid w:val="005700AE"/>
    <w:rsid w:val="005734BB"/>
    <w:rsid w:val="0057785D"/>
    <w:rsid w:val="005800D1"/>
    <w:rsid w:val="00581A94"/>
    <w:rsid w:val="005839EE"/>
    <w:rsid w:val="005847D1"/>
    <w:rsid w:val="00590272"/>
    <w:rsid w:val="00591AB1"/>
    <w:rsid w:val="00593FB5"/>
    <w:rsid w:val="005A2921"/>
    <w:rsid w:val="005A32A5"/>
    <w:rsid w:val="005A5271"/>
    <w:rsid w:val="005B00AE"/>
    <w:rsid w:val="005B3106"/>
    <w:rsid w:val="005B3715"/>
    <w:rsid w:val="005B5526"/>
    <w:rsid w:val="005C0912"/>
    <w:rsid w:val="005C3F0B"/>
    <w:rsid w:val="005C753E"/>
    <w:rsid w:val="005C7DFF"/>
    <w:rsid w:val="005D12BF"/>
    <w:rsid w:val="005D362A"/>
    <w:rsid w:val="005D5B5E"/>
    <w:rsid w:val="005D692E"/>
    <w:rsid w:val="005E0BA0"/>
    <w:rsid w:val="005E486C"/>
    <w:rsid w:val="005E75FB"/>
    <w:rsid w:val="005F17C9"/>
    <w:rsid w:val="005F5522"/>
    <w:rsid w:val="006047D4"/>
    <w:rsid w:val="00605010"/>
    <w:rsid w:val="00605ECF"/>
    <w:rsid w:val="0060647B"/>
    <w:rsid w:val="00607819"/>
    <w:rsid w:val="006109BE"/>
    <w:rsid w:val="00610BE7"/>
    <w:rsid w:val="00613B22"/>
    <w:rsid w:val="006148BE"/>
    <w:rsid w:val="00614D49"/>
    <w:rsid w:val="00615C97"/>
    <w:rsid w:val="00617B97"/>
    <w:rsid w:val="006210DC"/>
    <w:rsid w:val="00624092"/>
    <w:rsid w:val="00626986"/>
    <w:rsid w:val="006276BB"/>
    <w:rsid w:val="006325D7"/>
    <w:rsid w:val="00635812"/>
    <w:rsid w:val="00641431"/>
    <w:rsid w:val="0064329A"/>
    <w:rsid w:val="006442E3"/>
    <w:rsid w:val="00652749"/>
    <w:rsid w:val="00653090"/>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28B1"/>
    <w:rsid w:val="00692EF4"/>
    <w:rsid w:val="006A1B31"/>
    <w:rsid w:val="006A5F7A"/>
    <w:rsid w:val="006A7C38"/>
    <w:rsid w:val="006B2F1E"/>
    <w:rsid w:val="006B39DE"/>
    <w:rsid w:val="006B66D6"/>
    <w:rsid w:val="006B792A"/>
    <w:rsid w:val="006C417E"/>
    <w:rsid w:val="006D28BB"/>
    <w:rsid w:val="006D37DC"/>
    <w:rsid w:val="006D40A1"/>
    <w:rsid w:val="006D6412"/>
    <w:rsid w:val="006D66E3"/>
    <w:rsid w:val="006E4AAB"/>
    <w:rsid w:val="006E6C2E"/>
    <w:rsid w:val="006F02C1"/>
    <w:rsid w:val="006F131C"/>
    <w:rsid w:val="006F151F"/>
    <w:rsid w:val="00703DB1"/>
    <w:rsid w:val="00704E41"/>
    <w:rsid w:val="00707A25"/>
    <w:rsid w:val="00707D9C"/>
    <w:rsid w:val="00711EAE"/>
    <w:rsid w:val="00712229"/>
    <w:rsid w:val="00714C87"/>
    <w:rsid w:val="007158C9"/>
    <w:rsid w:val="00715BDB"/>
    <w:rsid w:val="0071607B"/>
    <w:rsid w:val="0072195C"/>
    <w:rsid w:val="007264D6"/>
    <w:rsid w:val="00727775"/>
    <w:rsid w:val="007335BB"/>
    <w:rsid w:val="00740C7F"/>
    <w:rsid w:val="00743C9A"/>
    <w:rsid w:val="00745F0F"/>
    <w:rsid w:val="0075137D"/>
    <w:rsid w:val="00757740"/>
    <w:rsid w:val="007609A7"/>
    <w:rsid w:val="00761121"/>
    <w:rsid w:val="00762220"/>
    <w:rsid w:val="007636A0"/>
    <w:rsid w:val="007652E8"/>
    <w:rsid w:val="00765C71"/>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C283F"/>
    <w:rsid w:val="007D00F4"/>
    <w:rsid w:val="007D189E"/>
    <w:rsid w:val="007D2337"/>
    <w:rsid w:val="007D2FBF"/>
    <w:rsid w:val="007D3738"/>
    <w:rsid w:val="007D3C9B"/>
    <w:rsid w:val="007E5CC8"/>
    <w:rsid w:val="007E600E"/>
    <w:rsid w:val="007E6F10"/>
    <w:rsid w:val="007E7644"/>
    <w:rsid w:val="007E7FAD"/>
    <w:rsid w:val="007F0F07"/>
    <w:rsid w:val="007F315E"/>
    <w:rsid w:val="007F4A5E"/>
    <w:rsid w:val="007F5406"/>
    <w:rsid w:val="007F5CB8"/>
    <w:rsid w:val="007F5FD0"/>
    <w:rsid w:val="007F615A"/>
    <w:rsid w:val="007F6D69"/>
    <w:rsid w:val="007F7272"/>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30D0"/>
    <w:rsid w:val="008C32DE"/>
    <w:rsid w:val="008C4735"/>
    <w:rsid w:val="008C5B86"/>
    <w:rsid w:val="008C6857"/>
    <w:rsid w:val="008C79C7"/>
    <w:rsid w:val="008C7BDE"/>
    <w:rsid w:val="008D0097"/>
    <w:rsid w:val="008D2025"/>
    <w:rsid w:val="008D22E6"/>
    <w:rsid w:val="008D2A28"/>
    <w:rsid w:val="008D5849"/>
    <w:rsid w:val="008D7096"/>
    <w:rsid w:val="008E156C"/>
    <w:rsid w:val="008E1746"/>
    <w:rsid w:val="008E4D46"/>
    <w:rsid w:val="008E6838"/>
    <w:rsid w:val="008F2697"/>
    <w:rsid w:val="008F6620"/>
    <w:rsid w:val="008F72D5"/>
    <w:rsid w:val="00901248"/>
    <w:rsid w:val="00902F8F"/>
    <w:rsid w:val="0090644D"/>
    <w:rsid w:val="00906F5B"/>
    <w:rsid w:val="00907E1D"/>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3A1A"/>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476F"/>
    <w:rsid w:val="009E496C"/>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4293"/>
    <w:rsid w:val="00A35CF5"/>
    <w:rsid w:val="00A423B1"/>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3CB8"/>
    <w:rsid w:val="00AC532B"/>
    <w:rsid w:val="00AC752C"/>
    <w:rsid w:val="00AD2E6A"/>
    <w:rsid w:val="00AD4C3A"/>
    <w:rsid w:val="00AD5344"/>
    <w:rsid w:val="00AD7411"/>
    <w:rsid w:val="00AD74B6"/>
    <w:rsid w:val="00AD7C95"/>
    <w:rsid w:val="00AE2D10"/>
    <w:rsid w:val="00AE3A3F"/>
    <w:rsid w:val="00AE5538"/>
    <w:rsid w:val="00AF0DC6"/>
    <w:rsid w:val="00AF0E7C"/>
    <w:rsid w:val="00AF6993"/>
    <w:rsid w:val="00B016AC"/>
    <w:rsid w:val="00B02600"/>
    <w:rsid w:val="00B038A9"/>
    <w:rsid w:val="00B071C8"/>
    <w:rsid w:val="00B07DD5"/>
    <w:rsid w:val="00B12CF7"/>
    <w:rsid w:val="00B13F18"/>
    <w:rsid w:val="00B209CA"/>
    <w:rsid w:val="00B232A9"/>
    <w:rsid w:val="00B278F6"/>
    <w:rsid w:val="00B30BC2"/>
    <w:rsid w:val="00B33162"/>
    <w:rsid w:val="00B42933"/>
    <w:rsid w:val="00B43377"/>
    <w:rsid w:val="00B46CEF"/>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943F2"/>
    <w:rsid w:val="00B956BB"/>
    <w:rsid w:val="00B96821"/>
    <w:rsid w:val="00B9687F"/>
    <w:rsid w:val="00B96F67"/>
    <w:rsid w:val="00BA1A17"/>
    <w:rsid w:val="00BA3862"/>
    <w:rsid w:val="00BB244E"/>
    <w:rsid w:val="00BB6ABF"/>
    <w:rsid w:val="00BC11D4"/>
    <w:rsid w:val="00BC2962"/>
    <w:rsid w:val="00BC5357"/>
    <w:rsid w:val="00BC5AC0"/>
    <w:rsid w:val="00BD0F16"/>
    <w:rsid w:val="00BD1040"/>
    <w:rsid w:val="00BD14BE"/>
    <w:rsid w:val="00BD2EB7"/>
    <w:rsid w:val="00BD35C4"/>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47DF"/>
    <w:rsid w:val="00C65CD5"/>
    <w:rsid w:val="00C66645"/>
    <w:rsid w:val="00C66A54"/>
    <w:rsid w:val="00C758D0"/>
    <w:rsid w:val="00C76400"/>
    <w:rsid w:val="00C76786"/>
    <w:rsid w:val="00C80F0A"/>
    <w:rsid w:val="00C86544"/>
    <w:rsid w:val="00C91E4D"/>
    <w:rsid w:val="00C92EB8"/>
    <w:rsid w:val="00C95529"/>
    <w:rsid w:val="00C975AD"/>
    <w:rsid w:val="00C97C5A"/>
    <w:rsid w:val="00CA250E"/>
    <w:rsid w:val="00CA5342"/>
    <w:rsid w:val="00CB276C"/>
    <w:rsid w:val="00CB2E09"/>
    <w:rsid w:val="00CC104D"/>
    <w:rsid w:val="00CC2810"/>
    <w:rsid w:val="00CC5272"/>
    <w:rsid w:val="00CC74FA"/>
    <w:rsid w:val="00CC7D14"/>
    <w:rsid w:val="00CD06CF"/>
    <w:rsid w:val="00CD2589"/>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7B0A"/>
    <w:rsid w:val="00D47BA0"/>
    <w:rsid w:val="00D50B6F"/>
    <w:rsid w:val="00D546F7"/>
    <w:rsid w:val="00D56183"/>
    <w:rsid w:val="00D56A37"/>
    <w:rsid w:val="00D627F2"/>
    <w:rsid w:val="00D62B94"/>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D0627"/>
    <w:rsid w:val="00DD1645"/>
    <w:rsid w:val="00DD1674"/>
    <w:rsid w:val="00DD1F12"/>
    <w:rsid w:val="00DD25CA"/>
    <w:rsid w:val="00DD653C"/>
    <w:rsid w:val="00DD65C3"/>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51B09"/>
    <w:rsid w:val="00E6041C"/>
    <w:rsid w:val="00E60E44"/>
    <w:rsid w:val="00E612F4"/>
    <w:rsid w:val="00E622E3"/>
    <w:rsid w:val="00E64C97"/>
    <w:rsid w:val="00E64CBB"/>
    <w:rsid w:val="00E65681"/>
    <w:rsid w:val="00E668F9"/>
    <w:rsid w:val="00E74AE4"/>
    <w:rsid w:val="00E777F9"/>
    <w:rsid w:val="00E80C3D"/>
    <w:rsid w:val="00E8268D"/>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43F06"/>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C7BF5"/>
    <w:rsid w:val="00FD2A59"/>
    <w:rsid w:val="00FD4485"/>
    <w:rsid w:val="00FD7390"/>
    <w:rsid w:val="00FE2CD1"/>
    <w:rsid w:val="00FE3452"/>
    <w:rsid w:val="00FE3F8E"/>
    <w:rsid w:val="00FE54FB"/>
    <w:rsid w:val="00FE5541"/>
    <w:rsid w:val="00FE55B5"/>
    <w:rsid w:val="00FE5D49"/>
    <w:rsid w:val="00FF2CF4"/>
    <w:rsid w:val="00FF3320"/>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7F7272"/>
    <w:rPr>
      <w:color w:val="605E5C"/>
      <w:shd w:val="clear" w:color="auto" w:fill="E1DFDD"/>
    </w:rPr>
  </w:style>
  <w:style w:type="numbering" w:customStyle="1" w:styleId="NoList1">
    <w:name w:val="No List1"/>
    <w:next w:val="NoList"/>
    <w:uiPriority w:val="99"/>
    <w:semiHidden/>
    <w:unhideWhenUsed/>
    <w:rsid w:val="00F43F06"/>
  </w:style>
  <w:style w:type="paragraph" w:styleId="CommentSubject">
    <w:name w:val="annotation subject"/>
    <w:basedOn w:val="CommentText"/>
    <w:next w:val="CommentText"/>
    <w:link w:val="CommentSubjectChar"/>
    <w:semiHidden/>
    <w:unhideWhenUsed/>
    <w:rsid w:val="00F43F06"/>
    <w:rPr>
      <w:rFonts w:ascii="Arial" w:hAnsi="Arial"/>
      <w:b/>
      <w:bCs/>
    </w:rPr>
  </w:style>
  <w:style w:type="character" w:customStyle="1" w:styleId="CommentSubjectChar">
    <w:name w:val="Comment Subject Char"/>
    <w:basedOn w:val="CommentTextChar"/>
    <w:link w:val="CommentSubject"/>
    <w:semiHidden/>
    <w:rsid w:val="00F43F06"/>
    <w:rPr>
      <w:rFonts w:ascii="Arial" w:hAnsi="Arial"/>
      <w:b/>
      <w:bCs/>
    </w:rPr>
  </w:style>
  <w:style w:type="character" w:customStyle="1" w:styleId="UnresolvedMention1">
    <w:name w:val="Unresolved Mention1"/>
    <w:basedOn w:val="DefaultParagraphFont"/>
    <w:uiPriority w:val="99"/>
    <w:semiHidden/>
    <w:unhideWhenUsed/>
    <w:rsid w:val="00F43F06"/>
    <w:rPr>
      <w:color w:val="808080"/>
      <w:shd w:val="clear" w:color="auto" w:fill="E6E6E6"/>
    </w:rPr>
  </w:style>
  <w:style w:type="numbering" w:customStyle="1" w:styleId="NoList11">
    <w:name w:val="No List11"/>
    <w:next w:val="NoList"/>
    <w:uiPriority w:val="99"/>
    <w:semiHidden/>
    <w:unhideWhenUsed/>
    <w:rsid w:val="00F43F06"/>
  </w:style>
  <w:style w:type="numbering" w:customStyle="1" w:styleId="NoList111">
    <w:name w:val="No List111"/>
    <w:next w:val="NoList"/>
    <w:uiPriority w:val="99"/>
    <w:semiHidden/>
    <w:unhideWhenUsed/>
    <w:rsid w:val="00F43F06"/>
  </w:style>
  <w:style w:type="table" w:customStyle="1" w:styleId="TableGrid1">
    <w:name w:val="Table Grid1"/>
    <w:basedOn w:val="TableNormal"/>
    <w:next w:val="TableGrid"/>
    <w:rsid w:val="00F43F0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F43F06"/>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F43F06"/>
    <w:rPr>
      <w:rFonts w:ascii="Arial" w:hAnsi="Arial" w:cs="Arial"/>
      <w:spacing w:val="-2"/>
      <w:sz w:val="23"/>
    </w:rPr>
  </w:style>
  <w:style w:type="paragraph" w:customStyle="1" w:styleId="StyleBodyTextArial">
    <w:name w:val="Style Body Text + Arial"/>
    <w:basedOn w:val="BodyText"/>
    <w:link w:val="StyleBodyTextArialChar"/>
    <w:rsid w:val="00F43F06"/>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F43F06"/>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customXml/itemProps2.xml><?xml version="1.0" encoding="utf-8"?>
<ds:datastoreItem xmlns:ds="http://schemas.openxmlformats.org/officeDocument/2006/customXml" ds:itemID="{636C9F99-9619-4E32-8841-3E68072579A7}">
  <ds:schemaRefs>
    <ds:schemaRef ds:uri="http://schemas.microsoft.com/office/2006/documentManagement/types"/>
    <ds:schemaRef ds:uri="http://schemas.openxmlformats.org/package/2006/metadata/core-properties"/>
    <ds:schemaRef ds:uri="http://www.w3.org/XML/1998/namespace"/>
    <ds:schemaRef ds:uri="http://purl.org/dc/elements/1.1/"/>
    <ds:schemaRef ds:uri="0c2ee8af-c6ec-4597-af87-8cdbadefb56f"/>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4.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1449</Words>
  <Characters>9033</Characters>
  <Application>Microsoft Office Word</Application>
  <DocSecurity>2</DocSecurity>
  <Lines>75</Lines>
  <Paragraphs>20</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10462</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2</cp:revision>
  <cp:lastPrinted>2014-10-30T19:21:00Z</cp:lastPrinted>
  <dcterms:created xsi:type="dcterms:W3CDTF">2024-09-30T23:19:00Z</dcterms:created>
  <dcterms:modified xsi:type="dcterms:W3CDTF">2024-09-30T23:19:00Z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